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A753B" w:rsidR="002E054D" w:rsidP="0010085F" w:rsidRDefault="002E054D" w14:paraId="54523A2C" w14:textId="3DC444AC">
      <w:pPr>
        <w:spacing w:after="0" w:line="240" w:lineRule="auto"/>
        <w:jc w:val="center"/>
        <w:rPr>
          <w:rFonts w:ascii="Calibri" w:hAnsi="Calibri" w:cs="Calibri"/>
          <w:lang w:val="en-GB"/>
        </w:rPr>
      </w:pPr>
    </w:p>
    <w:p w:rsidRPr="005A753B" w:rsidR="002E054D" w:rsidP="0010085F" w:rsidRDefault="002E054D" w14:paraId="28A89880" w14:textId="77777777">
      <w:pPr>
        <w:spacing w:after="0" w:line="240" w:lineRule="auto"/>
        <w:jc w:val="center"/>
        <w:rPr>
          <w:rFonts w:ascii="Calibri" w:hAnsi="Calibri" w:cs="Calibri"/>
          <w:lang w:val="en-GB"/>
        </w:rPr>
      </w:pPr>
    </w:p>
    <w:p w:rsidRPr="005A753B" w:rsidR="00386FAF" w:rsidP="0010085F" w:rsidRDefault="00386FAF" w14:paraId="02301E44" w14:textId="6914F910">
      <w:pPr>
        <w:pStyle w:val="Header"/>
        <w:shd w:val="clear" w:color="auto" w:fill="FFFFFF" w:themeFill="background1"/>
        <w:jc w:val="center"/>
        <w:rPr>
          <w:rFonts w:ascii="Calibri" w:hAnsi="Calibri" w:cs="Calibri"/>
          <w:b/>
          <w:bCs/>
          <w:color w:val="000000" w:themeColor="text1"/>
          <w:sz w:val="56"/>
          <w:szCs w:val="56"/>
          <w:lang w:val="en-GB" w:eastAsia="en-GB"/>
        </w:rPr>
      </w:pPr>
      <w:r w:rsidRPr="005A753B">
        <w:rPr>
          <w:rFonts w:ascii="Calibri" w:hAnsi="Calibri" w:cs="Calibri"/>
          <w:b/>
          <w:bCs/>
          <w:color w:val="000000" w:themeColor="text1"/>
          <w:sz w:val="56"/>
          <w:szCs w:val="56"/>
          <w:lang w:val="en-GB" w:eastAsia="en-GB"/>
        </w:rPr>
        <w:t>Inclusion Policy</w:t>
      </w:r>
    </w:p>
    <w:p w:rsidRPr="005A753B" w:rsidR="00386FAF" w:rsidP="0010085F" w:rsidRDefault="00386FAF" w14:paraId="77F31B90" w14:textId="77777777">
      <w:pPr>
        <w:spacing w:after="0" w:line="240" w:lineRule="auto"/>
        <w:jc w:val="center"/>
        <w:rPr>
          <w:rFonts w:ascii="Calibri" w:hAnsi="Calibri" w:cs="Calibri"/>
          <w:lang w:val="en-GB"/>
        </w:rPr>
      </w:pPr>
    </w:p>
    <w:p w:rsidRPr="005A753B" w:rsidR="00386FAF" w:rsidP="0010085F" w:rsidRDefault="00386FAF" w14:paraId="67EC720D"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7FDBD4D1"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2F805AED" w14:textId="77777777">
      <w:pPr>
        <w:spacing w:after="0" w:line="240" w:lineRule="auto"/>
        <w:jc w:val="both"/>
        <w:rPr>
          <w:rFonts w:ascii="Calibri" w:hAnsi="Calibri" w:eastAsia="Calibri" w:cs="Calibri"/>
          <w:b/>
          <w:bCs/>
          <w:sz w:val="28"/>
          <w:szCs w:val="28"/>
          <w:lang w:val="en-GB"/>
        </w:rPr>
      </w:pPr>
    </w:p>
    <w:tbl>
      <w:tblPr>
        <w:tblStyle w:val="ListTable2-Accent4"/>
        <w:tblpPr w:leftFromText="180" w:rightFromText="180" w:vertAnchor="page" w:horzAnchor="margin" w:tblpXSpec="center" w:tblpY="5241"/>
        <w:tblW w:w="10468" w:type="dxa"/>
        <w:tblBorders>
          <w:top w:val="single" w:color="FDEE7F" w:sz="4" w:space="0"/>
          <w:bottom w:val="single" w:color="FDEE7F" w:sz="4" w:space="0"/>
          <w:insideH w:val="none" w:color="auto" w:sz="0" w:space="0"/>
        </w:tblBorders>
        <w:shd w:val="solid" w:color="FDEE7F" w:fill="FDEE7F"/>
        <w:tblLook w:val="04A0" w:firstRow="1" w:lastRow="0" w:firstColumn="1" w:lastColumn="0" w:noHBand="0" w:noVBand="1"/>
      </w:tblPr>
      <w:tblGrid>
        <w:gridCol w:w="5529"/>
        <w:gridCol w:w="4939"/>
      </w:tblGrid>
      <w:tr w:rsidRPr="005A753B" w:rsidR="00531134" w:rsidTr="00602F99" w14:paraId="009936D9" w14:textId="77777777">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5529" w:type="dxa"/>
            <w:tcBorders>
              <w:top w:val="single" w:color="FFF2CC" w:sz="4" w:space="0"/>
              <w:bottom w:val="single" w:color="FFF2CC" w:sz="4" w:space="0"/>
            </w:tcBorders>
          </w:tcPr>
          <w:p w:rsidRPr="005A753B" w:rsidR="00602F99" w:rsidP="00602F99" w:rsidRDefault="00602F99" w14:paraId="06A67851" w14:textId="77777777">
            <w:pPr>
              <w:jc w:val="center"/>
              <w:rPr>
                <w:rFonts w:ascii="Calibri" w:hAnsi="Calibri" w:eastAsia="Century Gothic" w:cs="Calibri"/>
                <w:b w:val="0"/>
                <w:bCs w:val="0"/>
                <w:lang w:eastAsia="en-GB"/>
              </w:rPr>
            </w:pPr>
            <w:r w:rsidRPr="005A753B">
              <w:rPr>
                <w:rFonts w:ascii="Calibri" w:hAnsi="Calibri" w:eastAsia="Century Gothic" w:cs="Calibri"/>
                <w:lang w:eastAsia="en-GB"/>
              </w:rPr>
              <w:t>Policy First Issued on</w:t>
            </w:r>
          </w:p>
          <w:p w:rsidRPr="005A753B" w:rsidR="00602F99" w:rsidP="00602F99" w:rsidRDefault="00602F99" w14:paraId="3B627A24" w14:textId="77777777">
            <w:pPr>
              <w:jc w:val="center"/>
              <w:rPr>
                <w:rFonts w:ascii="Calibri" w:hAnsi="Calibri" w:eastAsia="Century Gothic" w:cs="Calibri"/>
                <w:b w:val="0"/>
                <w:bCs w:val="0"/>
                <w:lang w:eastAsia="en-GB"/>
              </w:rPr>
            </w:pPr>
          </w:p>
        </w:tc>
        <w:tc>
          <w:tcPr>
            <w:tcW w:w="4939" w:type="dxa"/>
            <w:tcBorders>
              <w:top w:val="single" w:color="FFF2CC" w:sz="4" w:space="0"/>
              <w:bottom w:val="single" w:color="FFF2CC" w:sz="4" w:space="0"/>
            </w:tcBorders>
          </w:tcPr>
          <w:p w:rsidRPr="005A753B" w:rsidR="00602F99" w:rsidP="00602F99" w:rsidRDefault="00602F99" w14:paraId="4BF49231"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Century Gothic" w:cs="Calibri"/>
                <w:b w:val="0"/>
                <w:bCs w:val="0"/>
                <w:lang w:eastAsia="en-GB"/>
              </w:rPr>
            </w:pPr>
            <w:r w:rsidRPr="005A753B">
              <w:rPr>
                <w:rFonts w:ascii="Calibri" w:hAnsi="Calibri" w:eastAsia="Century Gothic" w:cs="Calibri"/>
                <w:lang w:eastAsia="en-GB"/>
              </w:rPr>
              <w:t>12/12/24</w:t>
            </w:r>
          </w:p>
        </w:tc>
      </w:tr>
      <w:tr w:rsidRPr="005A753B" w:rsidR="00531134" w:rsidTr="00602F99" w14:paraId="4470601F" w14:textId="77777777">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529" w:type="dxa"/>
            <w:tcBorders>
              <w:top w:val="single" w:color="FFF2CC" w:sz="4" w:space="0"/>
              <w:bottom w:val="single" w:color="FFF2CC" w:sz="4" w:space="0"/>
            </w:tcBorders>
            <w:shd w:val="clear" w:color="auto" w:fill="FFF2CC"/>
          </w:tcPr>
          <w:p w:rsidRPr="005A753B" w:rsidR="00602F99" w:rsidP="00602F99" w:rsidRDefault="00602F99" w14:paraId="10D9DC88" w14:textId="77777777">
            <w:pPr>
              <w:jc w:val="center"/>
              <w:rPr>
                <w:rFonts w:ascii="Calibri" w:hAnsi="Calibri" w:eastAsia="Century Gothic" w:cs="Calibri"/>
                <w:b w:val="0"/>
                <w:bCs w:val="0"/>
                <w:lang w:eastAsia="en-GB"/>
              </w:rPr>
            </w:pPr>
            <w:r w:rsidRPr="005A753B">
              <w:rPr>
                <w:rFonts w:ascii="Calibri" w:hAnsi="Calibri" w:eastAsia="Century Gothic" w:cs="Calibri"/>
                <w:lang w:eastAsia="en-GB"/>
              </w:rPr>
              <w:t>Policy Amended on</w:t>
            </w:r>
          </w:p>
          <w:p w:rsidRPr="005A753B" w:rsidR="00602F99" w:rsidP="00602F99" w:rsidRDefault="00602F99" w14:paraId="10EDFBA4" w14:textId="77777777">
            <w:pPr>
              <w:jc w:val="center"/>
              <w:rPr>
                <w:rFonts w:ascii="Calibri" w:hAnsi="Calibri" w:eastAsia="Century Gothic" w:cs="Calibri"/>
                <w:b w:val="0"/>
                <w:bCs w:val="0"/>
                <w:lang w:eastAsia="en-GB"/>
              </w:rPr>
            </w:pPr>
          </w:p>
        </w:tc>
        <w:tc>
          <w:tcPr>
            <w:tcW w:w="4939" w:type="dxa"/>
            <w:tcBorders>
              <w:top w:val="single" w:color="FFF2CC" w:sz="4" w:space="0"/>
              <w:bottom w:val="single" w:color="FFF2CC" w:sz="4" w:space="0"/>
            </w:tcBorders>
            <w:shd w:val="clear" w:color="auto" w:fill="FFF2CC"/>
          </w:tcPr>
          <w:p w:rsidRPr="005A753B" w:rsidR="00602F99" w:rsidP="00602F99" w:rsidRDefault="00602F99" w14:paraId="14DB845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Century Gothic" w:cs="Calibri"/>
                <w:b/>
                <w:bCs/>
                <w:lang w:eastAsia="en-GB"/>
              </w:rPr>
            </w:pPr>
            <w:r w:rsidRPr="005A753B">
              <w:rPr>
                <w:rFonts w:ascii="Calibri" w:hAnsi="Calibri" w:eastAsia="Century Gothic" w:cs="Calibri"/>
                <w:b/>
                <w:bCs/>
                <w:lang w:eastAsia="en-GB"/>
              </w:rPr>
              <w:t>20/08/25</w:t>
            </w:r>
          </w:p>
        </w:tc>
      </w:tr>
      <w:tr w:rsidRPr="005A753B" w:rsidR="00531134" w:rsidTr="00602F99" w14:paraId="39FA8697" w14:textId="77777777">
        <w:trPr>
          <w:trHeight w:val="800"/>
        </w:trPr>
        <w:tc>
          <w:tcPr>
            <w:cnfStyle w:val="001000000000" w:firstRow="0" w:lastRow="0" w:firstColumn="1" w:lastColumn="0" w:oddVBand="0" w:evenVBand="0" w:oddHBand="0" w:evenHBand="0" w:firstRowFirstColumn="0" w:firstRowLastColumn="0" w:lastRowFirstColumn="0" w:lastRowLastColumn="0"/>
            <w:tcW w:w="5529" w:type="dxa"/>
            <w:tcBorders>
              <w:top w:val="single" w:color="FFF2CC" w:sz="4" w:space="0"/>
              <w:bottom w:val="single" w:color="FFF2CC" w:sz="4" w:space="0"/>
            </w:tcBorders>
            <w:shd w:val="clear" w:color="auto" w:fill="FFFFFF" w:themeFill="background1"/>
          </w:tcPr>
          <w:p w:rsidRPr="005A753B" w:rsidR="00602F99" w:rsidP="00602F99" w:rsidRDefault="00602F99" w14:paraId="2624600A" w14:textId="77777777">
            <w:pPr>
              <w:jc w:val="center"/>
              <w:rPr>
                <w:rFonts w:ascii="Calibri" w:hAnsi="Calibri" w:eastAsia="Century Gothic" w:cs="Calibri"/>
                <w:b w:val="0"/>
                <w:bCs w:val="0"/>
                <w:lang w:eastAsia="en-GB"/>
              </w:rPr>
            </w:pPr>
            <w:r w:rsidRPr="005A753B">
              <w:rPr>
                <w:rFonts w:ascii="Calibri" w:hAnsi="Calibri" w:eastAsia="Century Gothic" w:cs="Calibri"/>
                <w:lang w:eastAsia="en-GB"/>
              </w:rPr>
              <w:t>Lead Professional</w:t>
            </w:r>
          </w:p>
          <w:p w:rsidRPr="005A753B" w:rsidR="00602F99" w:rsidP="00602F99" w:rsidRDefault="00602F99" w14:paraId="5C852889" w14:textId="77777777">
            <w:pPr>
              <w:jc w:val="center"/>
              <w:rPr>
                <w:rFonts w:ascii="Calibri" w:hAnsi="Calibri" w:eastAsia="Century Gothic" w:cs="Calibri"/>
                <w:b w:val="0"/>
                <w:bCs w:val="0"/>
                <w:lang w:eastAsia="en-GB"/>
              </w:rPr>
            </w:pPr>
          </w:p>
        </w:tc>
        <w:tc>
          <w:tcPr>
            <w:tcW w:w="4939" w:type="dxa"/>
            <w:tcBorders>
              <w:top w:val="single" w:color="FFF2CC" w:sz="4" w:space="0"/>
              <w:bottom w:val="single" w:color="FFF2CC" w:sz="4" w:space="0"/>
            </w:tcBorders>
            <w:shd w:val="clear" w:color="auto" w:fill="FFFFFF" w:themeFill="background1"/>
          </w:tcPr>
          <w:p w:rsidRPr="005A753B" w:rsidR="00602F99" w:rsidP="00602F99" w:rsidRDefault="00602F99" w14:paraId="7B7105D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Century Gothic" w:cs="Calibri"/>
                <w:b/>
                <w:bCs/>
                <w:lang w:eastAsia="en-GB"/>
              </w:rPr>
            </w:pPr>
            <w:r w:rsidRPr="005A753B">
              <w:rPr>
                <w:rFonts w:ascii="Calibri" w:hAnsi="Calibri" w:eastAsia="Century Gothic" w:cs="Calibri"/>
                <w:b/>
                <w:bCs/>
                <w:lang w:eastAsia="en-GB"/>
              </w:rPr>
              <w:t>Sureya Bibi</w:t>
            </w:r>
          </w:p>
        </w:tc>
      </w:tr>
      <w:tr w:rsidRPr="005A753B" w:rsidR="00531134" w:rsidTr="00602F99" w14:paraId="165FA25C" w14:textId="7777777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529" w:type="dxa"/>
            <w:tcBorders>
              <w:top w:val="single" w:color="FFF2CC" w:sz="4" w:space="0"/>
              <w:bottom w:val="single" w:color="FFF2CC" w:sz="4" w:space="0"/>
            </w:tcBorders>
            <w:shd w:val="clear" w:color="auto" w:fill="FFF2CC"/>
          </w:tcPr>
          <w:p w:rsidRPr="005A753B" w:rsidR="00602F99" w:rsidP="00602F99" w:rsidRDefault="00602F99" w14:paraId="5B0A1536" w14:textId="77777777">
            <w:pPr>
              <w:jc w:val="center"/>
              <w:rPr>
                <w:rFonts w:ascii="Calibri" w:hAnsi="Calibri" w:eastAsia="Century Gothic" w:cs="Calibri"/>
                <w:b w:val="0"/>
                <w:bCs w:val="0"/>
                <w:lang w:eastAsia="en-GB"/>
              </w:rPr>
            </w:pPr>
            <w:r w:rsidRPr="005A753B">
              <w:rPr>
                <w:rFonts w:ascii="Calibri" w:hAnsi="Calibri" w:eastAsia="Century Gothic" w:cs="Calibri"/>
                <w:lang w:eastAsia="en-GB"/>
              </w:rPr>
              <w:t>Signature</w:t>
            </w:r>
          </w:p>
          <w:p w:rsidRPr="005A753B" w:rsidR="00602F99" w:rsidP="00602F99" w:rsidRDefault="00602F99" w14:paraId="2CDCA7F6" w14:textId="77777777">
            <w:pPr>
              <w:jc w:val="center"/>
              <w:rPr>
                <w:rFonts w:ascii="Calibri" w:hAnsi="Calibri" w:eastAsia="Century Gothic" w:cs="Calibri"/>
                <w:b w:val="0"/>
                <w:bCs w:val="0"/>
                <w:lang w:eastAsia="en-GB"/>
              </w:rPr>
            </w:pPr>
          </w:p>
        </w:tc>
        <w:tc>
          <w:tcPr>
            <w:tcW w:w="4939" w:type="dxa"/>
            <w:tcBorders>
              <w:top w:val="single" w:color="FFF2CC" w:sz="4" w:space="0"/>
              <w:bottom w:val="single" w:color="FFF2CC" w:sz="4" w:space="0"/>
            </w:tcBorders>
            <w:shd w:val="clear" w:color="auto" w:fill="FFF2CC"/>
          </w:tcPr>
          <w:p w:rsidRPr="005A753B" w:rsidR="00602F99" w:rsidP="00602F99" w:rsidRDefault="00531134" w14:paraId="28245F10" w14:textId="09B07FA4">
            <w:pPr>
              <w:jc w:val="center"/>
              <w:cnfStyle w:val="000000100000" w:firstRow="0" w:lastRow="0" w:firstColumn="0" w:lastColumn="0" w:oddVBand="0" w:evenVBand="0" w:oddHBand="1" w:evenHBand="0" w:firstRowFirstColumn="0" w:firstRowLastColumn="0" w:lastRowFirstColumn="0" w:lastRowLastColumn="0"/>
              <w:rPr>
                <w:rFonts w:ascii="Calibri" w:hAnsi="Calibri" w:eastAsia="Century Gothic" w:cs="Calibri"/>
                <w:b/>
                <w:bCs/>
                <w:lang w:eastAsia="en-GB"/>
              </w:rPr>
            </w:pPr>
            <w:r w:rsidRPr="00531134">
              <w:rPr>
                <w:rFonts w:ascii="Calibri" w:hAnsi="Calibri" w:eastAsia="Century Gothic" w:cs="Calibri"/>
                <w:b/>
                <w:bCs/>
                <w:lang w:eastAsia="en-GB"/>
              </w:rPr>
              <w:drawing>
                <wp:inline distT="0" distB="0" distL="0" distR="0" wp14:anchorId="531D7F55" wp14:editId="6B9DD532">
                  <wp:extent cx="515246" cy="252000"/>
                  <wp:effectExtent l="0" t="0" r="0" b="2540"/>
                  <wp:docPr id="198612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2559" name=""/>
                          <pic:cNvPicPr/>
                        </pic:nvPicPr>
                        <pic:blipFill>
                          <a:blip r:embed="rId10"/>
                          <a:stretch>
                            <a:fillRect/>
                          </a:stretch>
                        </pic:blipFill>
                        <pic:spPr>
                          <a:xfrm>
                            <a:off x="0" y="0"/>
                            <a:ext cx="515246" cy="252000"/>
                          </a:xfrm>
                          <a:prstGeom prst="rect">
                            <a:avLst/>
                          </a:prstGeom>
                        </pic:spPr>
                      </pic:pic>
                    </a:graphicData>
                  </a:graphic>
                </wp:inline>
              </w:drawing>
            </w:r>
          </w:p>
        </w:tc>
      </w:tr>
      <w:tr w:rsidRPr="005A753B" w:rsidR="00531134" w:rsidTr="00602F99" w14:paraId="1368D214" w14:textId="77777777">
        <w:trPr>
          <w:trHeight w:val="783"/>
        </w:trPr>
        <w:tc>
          <w:tcPr>
            <w:cnfStyle w:val="001000000000" w:firstRow="0" w:lastRow="0" w:firstColumn="1" w:lastColumn="0" w:oddVBand="0" w:evenVBand="0" w:oddHBand="0" w:evenHBand="0" w:firstRowFirstColumn="0" w:firstRowLastColumn="0" w:lastRowFirstColumn="0" w:lastRowLastColumn="0"/>
            <w:tcW w:w="5529" w:type="dxa"/>
            <w:tcBorders>
              <w:top w:val="single" w:color="FFF2CC" w:sz="4" w:space="0"/>
              <w:bottom w:val="single" w:color="FFF2CC" w:sz="4" w:space="0"/>
            </w:tcBorders>
            <w:shd w:val="clear" w:color="auto" w:fill="FFFFFF" w:themeFill="background1"/>
          </w:tcPr>
          <w:p w:rsidRPr="005A753B" w:rsidR="00602F99" w:rsidP="00602F99" w:rsidRDefault="00602F99" w14:paraId="6DE46A14" w14:textId="77777777">
            <w:pPr>
              <w:jc w:val="center"/>
              <w:rPr>
                <w:rFonts w:ascii="Calibri" w:hAnsi="Calibri" w:eastAsia="Century Gothic" w:cs="Calibri"/>
                <w:b w:val="0"/>
                <w:bCs w:val="0"/>
                <w:lang w:eastAsia="en-GB"/>
              </w:rPr>
            </w:pPr>
            <w:r w:rsidRPr="005A753B">
              <w:rPr>
                <w:rFonts w:ascii="Calibri" w:hAnsi="Calibri" w:eastAsia="Century Gothic" w:cs="Calibri"/>
                <w:lang w:eastAsia="en-GB"/>
              </w:rPr>
              <w:t>Next Policy Review Date</w:t>
            </w:r>
          </w:p>
          <w:p w:rsidRPr="005A753B" w:rsidR="00602F99" w:rsidP="00602F99" w:rsidRDefault="00602F99" w14:paraId="6EC6661E" w14:textId="77777777">
            <w:pPr>
              <w:jc w:val="center"/>
              <w:rPr>
                <w:rFonts w:ascii="Calibri" w:hAnsi="Calibri" w:eastAsia="Century Gothic" w:cs="Calibri"/>
                <w:b w:val="0"/>
                <w:bCs w:val="0"/>
                <w:lang w:eastAsia="en-GB"/>
              </w:rPr>
            </w:pPr>
          </w:p>
        </w:tc>
        <w:tc>
          <w:tcPr>
            <w:tcW w:w="4939" w:type="dxa"/>
            <w:tcBorders>
              <w:top w:val="single" w:color="FFF2CC" w:sz="4" w:space="0"/>
              <w:bottom w:val="single" w:color="FFF2CC" w:sz="4" w:space="0"/>
            </w:tcBorders>
            <w:shd w:val="clear" w:color="auto" w:fill="FFFFFF" w:themeFill="background1"/>
          </w:tcPr>
          <w:p w:rsidRPr="005A753B" w:rsidR="00602F99" w:rsidP="00602F99" w:rsidRDefault="00602F99" w14:paraId="4C48797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Century Gothic" w:cs="Calibri"/>
                <w:b/>
                <w:bCs/>
                <w:lang w:eastAsia="en-GB"/>
              </w:rPr>
            </w:pPr>
            <w:r w:rsidRPr="005A753B">
              <w:rPr>
                <w:rFonts w:ascii="Calibri" w:hAnsi="Calibri" w:eastAsia="Century Gothic" w:cs="Calibri"/>
                <w:b/>
                <w:bCs/>
                <w:lang w:eastAsia="en-GB"/>
              </w:rPr>
              <w:t>20/08/26</w:t>
            </w:r>
          </w:p>
        </w:tc>
      </w:tr>
    </w:tbl>
    <w:p w:rsidRPr="005A753B" w:rsidR="00386FAF" w:rsidP="0010085F" w:rsidRDefault="00386FAF" w14:paraId="6A2CF975"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5A6AE2A8"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5186291D"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22E40E76"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220B7EF0"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2E118E43"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728B6858"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692EE729" w14:textId="77777777">
      <w:pPr>
        <w:spacing w:after="0" w:line="240" w:lineRule="auto"/>
        <w:jc w:val="both"/>
        <w:rPr>
          <w:rFonts w:ascii="Calibri" w:hAnsi="Calibri" w:eastAsia="Calibri" w:cs="Calibri"/>
          <w:b/>
          <w:bCs/>
          <w:sz w:val="28"/>
          <w:szCs w:val="28"/>
          <w:lang w:val="en-GB"/>
        </w:rPr>
      </w:pPr>
    </w:p>
    <w:p w:rsidRPr="005A753B" w:rsidR="00386FAF" w:rsidP="0010085F" w:rsidRDefault="00386FAF" w14:paraId="66E1EBD6" w14:textId="77777777">
      <w:pPr>
        <w:spacing w:after="0" w:line="240" w:lineRule="auto"/>
        <w:jc w:val="center"/>
        <w:rPr>
          <w:rFonts w:ascii="Calibri" w:hAnsi="Calibri" w:cs="Calibri"/>
          <w:lang w:val="en-GB"/>
        </w:rPr>
      </w:pPr>
    </w:p>
    <w:p w:rsidRPr="005A753B" w:rsidR="00386FAF" w:rsidP="0010085F" w:rsidRDefault="00386FAF" w14:paraId="120AE4AF" w14:textId="77777777">
      <w:pPr>
        <w:spacing w:after="0" w:line="240" w:lineRule="auto"/>
        <w:jc w:val="center"/>
        <w:rPr>
          <w:rFonts w:ascii="Calibri" w:hAnsi="Calibri" w:cs="Calibri"/>
          <w:lang w:val="en-GB"/>
        </w:rPr>
      </w:pPr>
    </w:p>
    <w:p w:rsidRPr="005A753B" w:rsidR="00386FAF" w:rsidP="0010085F" w:rsidRDefault="00386FAF" w14:paraId="119DB1C0" w14:textId="77777777">
      <w:pPr>
        <w:spacing w:after="0" w:line="240" w:lineRule="auto"/>
        <w:jc w:val="center"/>
        <w:rPr>
          <w:rFonts w:ascii="Calibri" w:hAnsi="Calibri" w:cs="Calibri"/>
          <w:lang w:val="en-GB"/>
        </w:rPr>
      </w:pPr>
    </w:p>
    <w:p w:rsidRPr="005A753B" w:rsidR="002E054D" w:rsidP="0010085F" w:rsidRDefault="002E054D" w14:paraId="75C0DD02" w14:textId="77777777">
      <w:pPr>
        <w:spacing w:after="0" w:line="240" w:lineRule="auto"/>
        <w:jc w:val="center"/>
        <w:rPr>
          <w:rFonts w:ascii="Calibri" w:hAnsi="Calibri" w:cs="Calibri"/>
          <w:lang w:val="en-GB"/>
        </w:rPr>
      </w:pPr>
    </w:p>
    <w:p w:rsidRPr="005A753B" w:rsidR="00386FAF" w:rsidP="0010085F" w:rsidRDefault="00386FAF" w14:paraId="1CB0207A" w14:textId="77777777">
      <w:pPr>
        <w:spacing w:after="0" w:line="240" w:lineRule="auto"/>
        <w:rPr>
          <w:rFonts w:ascii="Calibri" w:hAnsi="Calibri" w:cs="Calibri"/>
          <w:lang w:val="en-GB"/>
        </w:rPr>
      </w:pPr>
    </w:p>
    <w:p w:rsidRPr="005A753B" w:rsidR="0010085F" w:rsidRDefault="0010085F" w14:paraId="681BF1A7" w14:textId="77777777">
      <w:pPr>
        <w:rPr>
          <w:rFonts w:ascii="Calibri" w:hAnsi="Calibri" w:cs="Calibri"/>
          <w:b/>
          <w:bCs/>
          <w:lang w:val="en-GB"/>
        </w:rPr>
      </w:pPr>
      <w:r w:rsidRPr="005A753B">
        <w:rPr>
          <w:rFonts w:ascii="Calibri" w:hAnsi="Calibri" w:cs="Calibri"/>
          <w:b/>
          <w:bCs/>
          <w:lang w:val="en-GB"/>
        </w:rPr>
        <w:br w:type="page"/>
      </w:r>
    </w:p>
    <w:p w:rsidRPr="000C3463" w:rsidR="0033056E" w:rsidP="0033056E" w:rsidRDefault="0033056E" w14:paraId="2C390564"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 Purpose</w:t>
      </w:r>
    </w:p>
    <w:p w:rsidRPr="000C3463" w:rsidR="0033056E" w:rsidP="708F24E3" w:rsidRDefault="0033056E" w14:paraId="22908BBF" w14:textId="5B0C4AE2">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This policy outlines the inclusive education provision at Muna British Academy. It provides clarity for staff, parents, and stakeholders on the school’s commitment to ensuring that every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has equitable access to learning, support, and participation in all aspects of school life.</w:t>
      </w:r>
    </w:p>
    <w:p w:rsidRPr="000C3463" w:rsidR="0033056E" w:rsidP="708F24E3" w:rsidRDefault="0033056E" w14:paraId="1E4DDDA1" w14:textId="77777777">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The policy supports the implementation of inclusive practice in line with the expectations of the Abu Dhabi Department of Education and Knowledge (ADEK) and reflects the school’s aim to identify and meet the needs of all learners, including those with additional learning needs (ALN) or disabilities.</w:t>
      </w:r>
    </w:p>
    <w:p w:rsidRPr="000C3463" w:rsidR="0033056E" w:rsidP="0033056E" w:rsidRDefault="0033056E" w14:paraId="2C3C28A8"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2. Commitment to Inclusion</w:t>
      </w:r>
    </w:p>
    <w:p w:rsidRPr="000C3463" w:rsidR="0033056E" w:rsidP="708F24E3" w:rsidRDefault="0033056E" w14:paraId="1AF06D3B" w14:textId="2F2B6945">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At Muna British Academy, inclusion is central to our identity as a school.</w:t>
      </w:r>
      <w:r w:rsidRPr="000C3463">
        <w:rPr>
          <w:rFonts w:ascii="Calibri" w:hAnsi="Calibri" w:eastAsia="Times New Roman" w:cs="Calibri"/>
          <w:kern w:val="0"/>
          <w14:ligatures w14:val="none"/>
        </w:rPr>
        <w:br/>
      </w:r>
      <w:r w:rsidRPr="708F24E3" w:rsidR="0033056E">
        <w:rPr>
          <w:rFonts w:ascii="Calibri" w:hAnsi="Calibri" w:eastAsia="Times New Roman" w:cs="Calibri"/>
          <w:kern w:val="0"/>
          <w:lang w:val="en-US"/>
          <w14:ligatures w14:val="none"/>
        </w:rPr>
        <w:t xml:space="preserve">Every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is recognised as an individual, valued for their unique strengths, and supported to overcome challenges.</w:t>
      </w:r>
      <w:r w:rsidRPr="000C3463">
        <w:rPr>
          <w:rFonts w:ascii="Calibri" w:hAnsi="Calibri" w:eastAsia="Times New Roman" w:cs="Calibri"/>
          <w:kern w:val="0"/>
          <w14:ligatures w14:val="none"/>
        </w:rPr>
        <w:br/>
      </w:r>
      <w:r w:rsidRPr="708F24E3" w:rsidR="0033056E">
        <w:rPr>
          <w:rFonts w:ascii="Calibri" w:hAnsi="Calibri" w:eastAsia="Times New Roman" w:cs="Calibri"/>
          <w:kern w:val="0"/>
          <w:lang w:val="en-US"/>
          <w14:ligatures w14:val="none"/>
        </w:rPr>
        <w:t>Inclusion is a shared responsibility – involving leadership, staff, families, and external professionals – and is embedded throughout the school’s culture, curriculum, and systems.</w:t>
      </w:r>
    </w:p>
    <w:p w:rsidRPr="000C3463" w:rsidR="0033056E" w:rsidP="708F24E3" w:rsidRDefault="0033056E" w14:paraId="2010A40F" w14:textId="0A7B2091">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We are committed to removing barriers to learning, responding early to individual needs, and providing high-quality, inclusive teaching that enables all learners to achieve their full potential. Inclusive practice is not an additional layer of provision but is integral to how we plan, teach, and assess across the school.</w:t>
      </w:r>
    </w:p>
    <w:p w:rsidRPr="000C3463" w:rsidR="0033056E" w:rsidP="0033056E" w:rsidRDefault="0033056E" w14:paraId="397292EA"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3. Vision</w:t>
      </w:r>
    </w:p>
    <w:p w:rsidRPr="000C3463" w:rsidR="0033056E" w:rsidP="0033056E" w:rsidRDefault="0033056E" w14:paraId="7B7AEF13" w14:textId="6280FE71">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Muna British Academy aims to be a model of inclusive education where all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s feel a sense of belonging, are safe and supported, and are enabled to thrive academically, socially, and emotionally.</w:t>
      </w:r>
    </w:p>
    <w:p w:rsidRPr="000C3463" w:rsidR="0033056E" w:rsidP="708F24E3" w:rsidRDefault="0033056E" w14:paraId="4FDC26BF" w14:textId="4B9C58E6">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We recognise that every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is different, and that high-quality education must be flexible and responsive. Our vision is to create an environment where inclusion is not defined by programmes or labels, but by a proactive and positive approach to meeting need.</w:t>
      </w:r>
    </w:p>
    <w:p w:rsidRPr="000C3463" w:rsidR="0033056E" w:rsidP="0033056E" w:rsidRDefault="0033056E" w14:paraId="4BC74C18"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4. Mission</w:t>
      </w:r>
    </w:p>
    <w:p w:rsidRPr="000C3463" w:rsidR="0033056E" w:rsidP="708F24E3" w:rsidRDefault="0033056E" w14:paraId="37BF2556" w14:textId="027B95FC">
      <w:pPr>
        <w:numPr>
          <w:ilvl w:val="0"/>
          <w:numId w:val="7"/>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To deliver high-quality teaching and learning that supports the achievement and wellbeing of all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including those with additional learning needs or disabilities</w:t>
      </w:r>
    </w:p>
    <w:p w:rsidRPr="000C3463" w:rsidR="0033056E" w:rsidP="708F24E3" w:rsidRDefault="0033056E" w14:paraId="3B082E4E" w14:textId="77777777">
      <w:pPr>
        <w:numPr>
          <w:ilvl w:val="0"/>
          <w:numId w:val="7"/>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To identify needs at the earliest possible stage and implement effective, evidence-informed interventions</w:t>
      </w:r>
    </w:p>
    <w:p w:rsidRPr="000C3463" w:rsidR="0033056E" w:rsidP="0033056E" w:rsidRDefault="0033056E" w14:paraId="43E54CEA" w14:textId="55F345E5">
      <w:pPr>
        <w:numPr>
          <w:ilvl w:val="0"/>
          <w:numId w:val="7"/>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To ensure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s and their families are actively involved in decisions affecting educational provision</w:t>
      </w:r>
    </w:p>
    <w:p w:rsidRPr="000C3463" w:rsidR="0033056E" w:rsidP="708F24E3" w:rsidRDefault="0033056E" w14:paraId="4EC47A09" w14:textId="77777777">
      <w:pPr>
        <w:numPr>
          <w:ilvl w:val="0"/>
          <w:numId w:val="7"/>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To provide staff with the training, tools, and support required to implement inclusive strategies with confidence</w:t>
      </w:r>
    </w:p>
    <w:p w:rsidRPr="000C3463" w:rsidR="0033056E" w:rsidP="0033056E" w:rsidRDefault="0033056E" w14:paraId="628A7A9E" w14:textId="77777777">
      <w:pPr>
        <w:numPr>
          <w:ilvl w:val="0"/>
          <w:numId w:val="7"/>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To ensure that inclusive practice is embedded across all areas of school life, including admissions, curriculum design, assessment, and transitions</w:t>
      </w:r>
    </w:p>
    <w:p w:rsidRPr="000C3463" w:rsidR="0033056E" w:rsidP="004E5D96" w:rsidRDefault="0033056E" w14:paraId="063ED32B" w14:textId="378419CC">
      <w:pPr>
        <w:numPr>
          <w:ilvl w:val="0"/>
          <w:numId w:val="7"/>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To foster a culture of collaboration, where inclusion is a collective responsibility supported by leadership, teaching and support staff, and the wider school community</w:t>
      </w:r>
    </w:p>
    <w:p w:rsidRPr="000C3463" w:rsidR="0033056E" w:rsidP="0033056E" w:rsidRDefault="0033056E" w14:paraId="3337D8D6"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5. Strategic Priorities</w:t>
      </w:r>
    </w:p>
    <w:p w:rsidRPr="000C3463" w:rsidR="0033056E" w:rsidP="0033056E" w:rsidRDefault="0033056E" w14:paraId="008656C6" w14:textId="77777777">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Our inclusive provision is supported by the following strategies:</w:t>
      </w:r>
    </w:p>
    <w:p w:rsidRPr="000C3463" w:rsidR="0033056E" w:rsidP="708F24E3" w:rsidRDefault="0033056E" w14:paraId="3CBB92EA" w14:textId="77777777">
      <w:pPr>
        <w:numPr>
          <w:ilvl w:val="0"/>
          <w:numId w:val="8"/>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Ongoing professional development and coaching for the inclusion team to develop their expertise further</w:t>
      </w:r>
    </w:p>
    <w:p w:rsidRPr="000C3463" w:rsidR="0033056E" w:rsidP="0033056E" w:rsidRDefault="0033056E" w14:paraId="03000290" w14:textId="77777777">
      <w:pPr>
        <w:numPr>
          <w:ilvl w:val="0"/>
          <w:numId w:val="8"/>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Whole-school CPD to build the capacity of teachers and teaching assistants in inclusive practice</w:t>
      </w:r>
    </w:p>
    <w:p w:rsidRPr="000C3463" w:rsidR="0033056E" w:rsidP="0033056E" w:rsidRDefault="0033056E" w14:paraId="326F0E4D" w14:textId="77777777">
      <w:pPr>
        <w:numPr>
          <w:ilvl w:val="0"/>
          <w:numId w:val="8"/>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A clearly defined tiered model of support to guide the allocation and deployment of staff, resources, and interventions</w:t>
      </w:r>
    </w:p>
    <w:p w:rsidRPr="000C3463" w:rsidR="0033056E" w:rsidP="0033056E" w:rsidRDefault="0033056E" w14:paraId="69847E75" w14:textId="77777777">
      <w:pPr>
        <w:numPr>
          <w:ilvl w:val="0"/>
          <w:numId w:val="8"/>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Investment in facilities such as sensory rooms and therapeutic learning spaces where appropriate</w:t>
      </w:r>
    </w:p>
    <w:p w:rsidRPr="000C3463" w:rsidR="0033056E" w:rsidP="708F24E3" w:rsidRDefault="0033056E" w14:paraId="1AF44139" w14:textId="0E567BA1">
      <w:pPr>
        <w:numPr>
          <w:ilvl w:val="0"/>
          <w:numId w:val="8"/>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Use of data to identify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with potential additional learning needs and to monitor the progress and attainment of all learners</w:t>
      </w:r>
    </w:p>
    <w:p w:rsidRPr="000C3463" w:rsidR="0033056E" w:rsidP="708F24E3" w:rsidRDefault="0033056E" w14:paraId="2776DEB5" w14:textId="51F8689B">
      <w:pPr>
        <w:numPr>
          <w:ilvl w:val="0"/>
          <w:numId w:val="8"/>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Strong collaboration between teachers, inclusion staff, therapists, and pastoral teams to prioritise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wellbeing and progress</w:t>
      </w:r>
    </w:p>
    <w:p w:rsidRPr="000C3463" w:rsidR="0033056E" w:rsidP="708F24E3" w:rsidRDefault="0033056E" w14:paraId="43F6C8A3" w14:textId="4E578BD2">
      <w:pPr>
        <w:numPr>
          <w:ilvl w:val="0"/>
          <w:numId w:val="8"/>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Active engagement with families to ensure support is personalised and collaborative</w:t>
      </w:r>
    </w:p>
    <w:p w:rsidRPr="000C3463" w:rsidR="0033056E" w:rsidP="0033056E" w:rsidRDefault="0033056E" w14:paraId="6D7BF50C"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6. Admissions</w:t>
      </w:r>
    </w:p>
    <w:p w:rsidRPr="000C3463" w:rsidR="0033056E" w:rsidP="0033056E" w:rsidRDefault="0033056E" w14:paraId="4774B369" w14:textId="2998BF42">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Muna British Academy is an inclusive school and welcomes applications from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s of all backgrounds, regardless of language, prior education, or academic attainment. Each application is considered on its individual merit through a comprehensive assessment process.</w:t>
      </w:r>
    </w:p>
    <w:p w:rsidRPr="000C3463" w:rsidR="0033056E" w:rsidP="708F24E3" w:rsidRDefault="0033056E" w14:paraId="6313AC1E" w14:textId="3C37FF9B">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Parents are encouraged to disclose any existing diagnoses, learning support history, or clinical assessments to allow the school to prepare an appropriate provision plan. If a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requires access arrangements or adjustments during the admissions process, these will be facilitated to ensure fair and equitable assessment.</w:t>
      </w:r>
    </w:p>
    <w:p w:rsidRPr="000C3463" w:rsidR="0033056E" w:rsidP="708F24E3" w:rsidRDefault="0033056E" w14:paraId="04BEE719" w14:textId="5DAFF13B">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Applications for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with disclosed disabilities or ALN are reviewed by the inclusion and leadership teams. Consideration is given to the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potential for progress and whether their needs can be met through the support structures available in school. Where the school is </w:t>
      </w:r>
      <w:r w:rsidRPr="708F24E3" w:rsidR="0033056E">
        <w:rPr>
          <w:rFonts w:ascii="Calibri" w:hAnsi="Calibri" w:eastAsia="Times New Roman" w:cs="Calibri"/>
          <w:kern w:val="0"/>
          <w:lang w:val="en-US"/>
          <w14:ligatures w14:val="none"/>
        </w:rPr>
        <w:t xml:space="preserve">unable to meet the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needs, parents will be informed in writing, and ADEK will be notified, in accordance with current policy.</w:t>
      </w:r>
    </w:p>
    <w:p w:rsidRPr="000C3463" w:rsidR="0033056E" w:rsidP="708F24E3" w:rsidRDefault="004E5D96" w14:paraId="2AB468A6" w14:textId="0102A16D">
      <w:pPr>
        <w:spacing w:before="100" w:beforeAutospacing="on" w:after="100" w:afterAutospacing="on" w:line="240" w:lineRule="auto"/>
        <w:rPr>
          <w:rFonts w:ascii="Calibri" w:hAnsi="Calibri" w:eastAsia="Times New Roman" w:cs="Calibri"/>
          <w:kern w:val="0"/>
          <w:lang w:val="en-US"/>
          <w14:ligatures w14:val="none"/>
        </w:rPr>
      </w:pP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are generally admitted into the year group appropriate for their chronological age and stage of prior learning. Retention in a previous year group is not permitted except in exceptional circumstances and where it is demonstrably in the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best interests.</w:t>
      </w:r>
    </w:p>
    <w:p w:rsidRPr="000C3463" w:rsidR="0033056E" w:rsidP="708F24E3" w:rsidRDefault="0033056E" w14:paraId="5FEACCF8" w14:textId="2D2D8D92">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Personalised transition support is offered to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joining the school or moving across </w:t>
      </w:r>
      <w:r w:rsidRPr="708F24E3" w:rsidR="004E5D96">
        <w:rPr>
          <w:rFonts w:ascii="Calibri" w:hAnsi="Calibri" w:eastAsia="Times New Roman" w:cs="Calibri"/>
          <w:kern w:val="0"/>
          <w:lang w:val="en-US"/>
          <w14:ligatures w14:val="none"/>
        </w:rPr>
        <w:t>key stages</w:t>
      </w:r>
      <w:r w:rsidRPr="708F24E3" w:rsidR="0033056E">
        <w:rPr>
          <w:rFonts w:ascii="Calibri" w:hAnsi="Calibri" w:eastAsia="Times New Roman" w:cs="Calibri"/>
          <w:kern w:val="0"/>
          <w:lang w:val="en-US"/>
          <w14:ligatures w14:val="none"/>
        </w:rPr>
        <w:t>. This may include visits, transition booklets, staff visits to the current setting, visual supports, and tailored planning in collaboration with families.</w:t>
      </w:r>
    </w:p>
    <w:p w:rsidRPr="000C3463" w:rsidR="0033056E" w:rsidP="0033056E" w:rsidRDefault="0033056E" w14:paraId="4DC62567"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7. Standard Inclusive Provision</w:t>
      </w:r>
    </w:p>
    <w:p w:rsidRPr="000C3463" w:rsidR="0033056E" w:rsidP="0033056E" w:rsidRDefault="0033056E" w14:paraId="4595BC0E" w14:textId="77777777">
      <w:pPr>
        <w:spacing w:before="100" w:beforeAutospacing="1" w:after="100" w:afterAutospacing="1" w:line="240" w:lineRule="auto"/>
        <w:outlineLvl w:val="3"/>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7.1 Staffing</w:t>
      </w:r>
    </w:p>
    <w:p w:rsidRPr="005A753B" w:rsidR="004E5D96" w:rsidP="708F24E3" w:rsidRDefault="004E5D96" w14:paraId="2D1E5E06" w14:textId="3003E215">
      <w:pPr>
        <w:spacing w:before="100" w:beforeAutospacing="on" w:after="100" w:afterAutospacing="on" w:line="240" w:lineRule="auto"/>
        <w:rPr>
          <w:rFonts w:ascii="Calibri" w:hAnsi="Calibri" w:cs="Calibri"/>
          <w:lang w:val="en-US"/>
        </w:rPr>
      </w:pPr>
      <w:r w:rsidRPr="708F24E3" w:rsidR="004E5D96">
        <w:rPr>
          <w:rFonts w:ascii="Calibri" w:hAnsi="Calibri" w:cs="Calibri"/>
          <w:lang w:val="en-US"/>
        </w:rPr>
        <w:t>The inclusion team is led by the Director of Inclusion, Sureya Bibi, and supported by specialist staff, including two Inclusion Teachers, a Higher Level Teaching Assistant, and Inclusion Assistants. Team members are deployed according to students’ needs and collaborate closely with teachers to ensure that support is purposeful, well-integrated, and effective.</w:t>
      </w:r>
    </w:p>
    <w:p w:rsidRPr="000C3463" w:rsidR="0033056E" w:rsidP="708F24E3" w:rsidRDefault="0033056E" w14:paraId="1ABE7213" w14:textId="207B1697">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In some cases,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may require support beyond what is typically available in school. Where a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requires individualised care, support, or supervision for at least 50% of the school day, the school may recommend the appointment of a parent-funded Individual Assistant. The Individual Assistant works under the guidance of the school but is not responsible for teaching, planning, or assessment.</w:t>
      </w:r>
    </w:p>
    <w:p w:rsidRPr="000C3463" w:rsidR="0033056E" w:rsidP="0033056E" w:rsidRDefault="0033056E" w14:paraId="172AF3C2" w14:textId="77777777">
      <w:pPr>
        <w:spacing w:before="100" w:beforeAutospacing="1" w:after="100" w:afterAutospacing="1" w:line="240" w:lineRule="auto"/>
        <w:outlineLvl w:val="3"/>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7.2 Accessibility</w:t>
      </w:r>
    </w:p>
    <w:p w:rsidRPr="000C3463" w:rsidR="0033056E" w:rsidP="708F24E3" w:rsidRDefault="0033056E" w14:paraId="65D61D6F" w14:textId="77777777">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The school campus is continuously reviewed to improve physical accessibility. Adaptations are made on a case-by-case basis and implemented where feasible through collaboration between the inclusion and facilities teams.</w:t>
      </w:r>
    </w:p>
    <w:p w:rsidRPr="000C3463" w:rsidR="0033056E" w:rsidP="708F24E3" w:rsidRDefault="0033056E" w14:paraId="623421DC" w14:textId="3E8D41B3">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For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requiring assistance during emergency evacuations, a Personal Emergency Evacuation Plan (PEEP) is created. Risk assessments are completed for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who require additional supervision or support for their safety and that of others. Staff are trained in relevant procedures, including the use of evacuation equipment.</w:t>
      </w:r>
    </w:p>
    <w:p w:rsidRPr="000C3463" w:rsidR="0033056E" w:rsidP="708F24E3" w:rsidRDefault="0033056E" w14:paraId="002B08FB" w14:textId="7F94D7EA">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Learning spaces are designed to be flexible and responsive to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needs. Adapted equipment is provided where necessary to support physical or sensory integration. Dedicated spaces are allocated for interventions, therapies, and sensory regulation.</w:t>
      </w:r>
    </w:p>
    <w:p w:rsidRPr="000C3463" w:rsidR="0033056E" w:rsidP="0033056E" w:rsidRDefault="0033056E" w14:paraId="0E042315"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8. Teaching and Learning</w:t>
      </w:r>
    </w:p>
    <w:p w:rsidRPr="000C3463" w:rsidR="0033056E" w:rsidP="708F24E3" w:rsidRDefault="0033056E" w14:paraId="4FC2A250" w14:textId="2759A2A2">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Teachers at Muna British Academy are responsible for meeting the needs of all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through high-quality, inclusive teaching. Lessons are designed using a range of approaches to meet different learning styles and remove barriers to access.</w:t>
      </w:r>
    </w:p>
    <w:p w:rsidRPr="000C3463" w:rsidR="0033056E" w:rsidP="708F24E3" w:rsidRDefault="0033056E" w14:paraId="78D9BC6B" w14:textId="0898D097">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Where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s have specific targets identified in </w:t>
      </w:r>
      <w:r w:rsidRPr="708F24E3" w:rsidR="004E5D96">
        <w:rPr>
          <w:rFonts w:ascii="Calibri" w:hAnsi="Calibri" w:eastAsia="Times New Roman" w:cs="Calibri"/>
          <w:kern w:val="0"/>
          <w:lang w:val="en-US"/>
          <w14:ligatures w14:val="none"/>
        </w:rPr>
        <w:t>Documented Learning plans</w:t>
      </w:r>
      <w:r w:rsidRPr="708F24E3" w:rsidR="0033056E">
        <w:rPr>
          <w:rFonts w:ascii="Calibri" w:hAnsi="Calibri" w:eastAsia="Times New Roman" w:cs="Calibri"/>
          <w:kern w:val="0"/>
          <w:lang w:val="en-US"/>
          <w14:ligatures w14:val="none"/>
        </w:rPr>
        <w:t>, these are used to inform lesson planning and classroom adjustments. Teachers implement strategies recommended by the inclusion team and ensure that assessment, feedback, and classroom participation are accessible for all.</w:t>
      </w:r>
    </w:p>
    <w:p w:rsidRPr="000C3463" w:rsidR="0033056E" w:rsidP="004E5D96" w:rsidRDefault="0033056E" w14:paraId="2A7ECDFB" w14:textId="79C3E216">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Inclusive teaching is a whole-school expectation and is reviewed regularly through observation, planning scrutiny, and professional dialogue.</w:t>
      </w:r>
    </w:p>
    <w:p w:rsidRPr="000C3463" w:rsidR="0033056E" w:rsidP="0033056E" w:rsidRDefault="0033056E" w14:paraId="5DB0CDA1"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9. Tiered Model of Support</w:t>
      </w:r>
    </w:p>
    <w:p w:rsidRPr="000C3463" w:rsidR="0033056E" w:rsidP="0033056E" w:rsidRDefault="0033056E" w14:paraId="62CD8336" w14:textId="77777777">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The school adopts a three-tier model to guide the level of support provided:</w:t>
      </w:r>
    </w:p>
    <w:p w:rsidRPr="000C3463" w:rsidR="0033056E" w:rsidP="0033056E" w:rsidRDefault="0033056E" w14:paraId="012F93C6" w14:textId="75700657">
      <w:pPr>
        <w:numPr>
          <w:ilvl w:val="0"/>
          <w:numId w:val="9"/>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b/>
          <w:bCs/>
          <w:kern w:val="0"/>
          <w14:ligatures w14:val="none"/>
        </w:rPr>
        <w:t>Tier 1 – Universal</w:t>
      </w:r>
      <w:r w:rsidRPr="000C3463">
        <w:rPr>
          <w:rFonts w:ascii="Calibri" w:hAnsi="Calibri" w:eastAsia="Times New Roman" w:cs="Calibri"/>
          <w:kern w:val="0"/>
          <w14:ligatures w14:val="none"/>
        </w:rPr>
        <w:t xml:space="preserve">: Support provided through </w:t>
      </w:r>
      <w:r w:rsidRPr="005A753B" w:rsidR="00462BFD">
        <w:rPr>
          <w:rFonts w:ascii="Calibri" w:hAnsi="Calibri" w:eastAsia="Times New Roman" w:cs="Calibri"/>
          <w:kern w:val="0"/>
          <w14:ligatures w14:val="none"/>
        </w:rPr>
        <w:t xml:space="preserve">high </w:t>
      </w:r>
      <w:r w:rsidRPr="000C3463">
        <w:rPr>
          <w:rFonts w:ascii="Calibri" w:hAnsi="Calibri" w:eastAsia="Times New Roman" w:cs="Calibri"/>
          <w:kern w:val="0"/>
          <w14:ligatures w14:val="none"/>
        </w:rPr>
        <w:t>quality</w:t>
      </w:r>
      <w:r w:rsidRPr="005A753B" w:rsidR="00462BFD">
        <w:rPr>
          <w:rFonts w:ascii="Calibri" w:hAnsi="Calibri" w:eastAsia="Times New Roman" w:cs="Calibri"/>
          <w:kern w:val="0"/>
          <w14:ligatures w14:val="none"/>
        </w:rPr>
        <w:t xml:space="preserve"> inclusive</w:t>
      </w:r>
      <w:r w:rsidRPr="000C3463">
        <w:rPr>
          <w:rFonts w:ascii="Calibri" w:hAnsi="Calibri" w:eastAsia="Times New Roman" w:cs="Calibri"/>
          <w:kern w:val="0"/>
          <w14:ligatures w14:val="none"/>
        </w:rPr>
        <w:t xml:space="preserve"> teaching within the classroom.</w:t>
      </w:r>
    </w:p>
    <w:p w:rsidRPr="000C3463" w:rsidR="0033056E" w:rsidP="0033056E" w:rsidRDefault="0033056E" w14:paraId="1944CEA6" w14:textId="77777777">
      <w:pPr>
        <w:numPr>
          <w:ilvl w:val="0"/>
          <w:numId w:val="9"/>
        </w:num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b/>
          <w:bCs/>
          <w:kern w:val="0"/>
          <w14:ligatures w14:val="none"/>
        </w:rPr>
        <w:t>Tier 2 – Targeted</w:t>
      </w:r>
      <w:r w:rsidRPr="000C3463">
        <w:rPr>
          <w:rFonts w:ascii="Calibri" w:hAnsi="Calibri" w:eastAsia="Times New Roman" w:cs="Calibri"/>
          <w:kern w:val="0"/>
          <w14:ligatures w14:val="none"/>
        </w:rPr>
        <w:t>: Additional support provided by the inclusion team, alongside class teachers, usually in small groups.</w:t>
      </w:r>
    </w:p>
    <w:p w:rsidRPr="000C3463" w:rsidR="0033056E" w:rsidP="708F24E3" w:rsidRDefault="0033056E" w14:paraId="7FB8873A" w14:textId="77777777">
      <w:pPr>
        <w:numPr>
          <w:ilvl w:val="0"/>
          <w:numId w:val="9"/>
        </w:num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b w:val="1"/>
          <w:bCs w:val="1"/>
          <w:kern w:val="0"/>
          <w:lang w:val="en-US"/>
          <w14:ligatures w14:val="none"/>
        </w:rPr>
        <w:t>Tier 3 – Intensive</w:t>
      </w:r>
      <w:r w:rsidRPr="708F24E3" w:rsidR="0033056E">
        <w:rPr>
          <w:rFonts w:ascii="Calibri" w:hAnsi="Calibri" w:eastAsia="Times New Roman" w:cs="Calibri"/>
          <w:kern w:val="0"/>
          <w:lang w:val="en-US"/>
          <w14:ligatures w14:val="none"/>
        </w:rPr>
        <w:t>: Highly personalised support provided by the inclusion team, often involving one-to-one interventions or external professional input.</w:t>
      </w:r>
    </w:p>
    <w:p w:rsidRPr="000C3463" w:rsidR="0033056E" w:rsidP="00462BFD" w:rsidRDefault="0033056E" w14:paraId="63C20E0B" w14:textId="326E47FD">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Allocation to a tier is based on assessment, observation, and professional judgement, and may change over time according to the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’s progress and changing needs.</w:t>
      </w:r>
    </w:p>
    <w:p w:rsidRPr="000C3463" w:rsidR="0033056E" w:rsidP="0033056E" w:rsidRDefault="0033056E" w14:paraId="26A1BA7A"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10. Identification, Referral, and Tracking</w:t>
      </w:r>
    </w:p>
    <w:p w:rsidRPr="000C3463" w:rsidR="0033056E" w:rsidP="0033056E" w:rsidRDefault="0033056E" w14:paraId="257BA52D" w14:textId="51FFBD8A">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Teachers may refer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 xml:space="preserve">s to the inclusion team if there are concerns about progress, engagement, or wellbeing. This process may include observation, work sampling, consultation with the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 discussion with parents, and formal or informal assessment.</w:t>
      </w:r>
    </w:p>
    <w:p w:rsidRPr="005A753B" w:rsidR="00462BFD" w:rsidP="708F24E3" w:rsidRDefault="00462BFD" w14:paraId="1AD96E7F" w14:textId="77777777">
      <w:pPr>
        <w:pStyle w:val="NormalWeb"/>
        <w:rPr>
          <w:rFonts w:ascii="Calibri" w:hAnsi="Calibri" w:cs="Calibri"/>
          <w:lang w:val="en-US"/>
        </w:rPr>
      </w:pPr>
      <w:r w:rsidRPr="708F24E3" w:rsidR="00462BFD">
        <w:rPr>
          <w:rFonts w:ascii="Calibri" w:hAnsi="Calibri" w:cs="Calibri"/>
          <w:lang w:val="en-US"/>
        </w:rPr>
        <w:t>Following referral, the inclusion team meets to determine appropriate next steps, which may include classroom strategies, short-term interventions, or further assessment. Students with identified additional learning needs (ALN) are allocated to a support tier, and documentation is developed collaboratively with staff, parents, and the student, where appropriate.</w:t>
      </w:r>
    </w:p>
    <w:p w:rsidRPr="005A753B" w:rsidR="00462BFD" w:rsidP="00462BFD" w:rsidRDefault="00462BFD" w14:paraId="2270BC08" w14:textId="77777777">
      <w:pPr>
        <w:pStyle w:val="NormalWeb"/>
        <w:numPr>
          <w:ilvl w:val="0"/>
          <w:numId w:val="12"/>
        </w:numPr>
        <w:rPr>
          <w:rFonts w:ascii="Calibri" w:hAnsi="Calibri" w:cs="Calibri"/>
        </w:rPr>
      </w:pPr>
      <w:r w:rsidRPr="005A753B">
        <w:rPr>
          <w:rFonts w:ascii="Calibri" w:hAnsi="Calibri" w:cs="Calibri"/>
          <w:b/>
          <w:bCs/>
        </w:rPr>
        <w:t>Tier 1:</w:t>
      </w:r>
      <w:r w:rsidRPr="005A753B">
        <w:rPr>
          <w:rFonts w:ascii="Calibri" w:hAnsi="Calibri" w:cs="Calibri"/>
        </w:rPr>
        <w:t xml:space="preserve"> Students have a Learning Passport, which outlines recommended classroom strategies.</w:t>
      </w:r>
    </w:p>
    <w:p w:rsidRPr="005A753B" w:rsidR="00462BFD" w:rsidP="00462BFD" w:rsidRDefault="00462BFD" w14:paraId="59EA33BB" w14:textId="09AA74B9">
      <w:pPr>
        <w:pStyle w:val="NormalWeb"/>
        <w:numPr>
          <w:ilvl w:val="0"/>
          <w:numId w:val="12"/>
        </w:numPr>
        <w:rPr>
          <w:rFonts w:ascii="Calibri" w:hAnsi="Calibri" w:cs="Calibri"/>
        </w:rPr>
      </w:pPr>
      <w:r w:rsidRPr="005A753B">
        <w:rPr>
          <w:rFonts w:ascii="Calibri" w:hAnsi="Calibri" w:cs="Calibri"/>
          <w:b/>
          <w:bCs/>
        </w:rPr>
        <w:t>Tiers 2 and 3:</w:t>
      </w:r>
      <w:r w:rsidRPr="005A753B">
        <w:rPr>
          <w:rFonts w:ascii="Calibri" w:hAnsi="Calibri" w:cs="Calibri"/>
        </w:rPr>
        <w:t xml:space="preserve"> Students have an Individual Educational Plan (IEP), Emotional Regulation Support Plan (ERSP), or Advanced Educational Plan (AEP), which are reviewed termly with families and staff. Annual reviews are also conducted for students receiving intensive support or those supported by an Individual Assistant.</w:t>
      </w:r>
    </w:p>
    <w:p w:rsidRPr="000C3463" w:rsidR="0033056E" w:rsidP="708F24E3" w:rsidRDefault="00462BFD" w14:paraId="362995AD" w14:textId="76373A23">
      <w:pPr>
        <w:pStyle w:val="NormalWeb"/>
        <w:rPr>
          <w:rFonts w:ascii="Calibri" w:hAnsi="Calibri" w:cs="Calibri"/>
          <w:lang w:val="en-US"/>
        </w:rPr>
      </w:pPr>
      <w:r w:rsidRPr="708F24E3" w:rsidR="00462BFD">
        <w:rPr>
          <w:rFonts w:ascii="Calibri" w:hAnsi="Calibri" w:cs="Calibri"/>
          <w:lang w:val="en-US"/>
        </w:rPr>
        <w:t>Records of student needs, support levels, assessment outcomes, and relevant documentation are securely maintained on the school’s management system.</w:t>
      </w:r>
    </w:p>
    <w:p w:rsidRPr="000C3463" w:rsidR="0033056E" w:rsidP="0033056E" w:rsidRDefault="0033056E" w14:paraId="745FD15B"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11. Assessment Accommodations</w:t>
      </w:r>
    </w:p>
    <w:p w:rsidRPr="000C3463" w:rsidR="0033056E" w:rsidP="708F24E3" w:rsidRDefault="0033056E" w14:paraId="1AEF8327" w14:textId="233F18DE">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The school follows appropriate guidance in providing access arrangements for both internal and external assessments. Accommodations are only granted where there is clear evidence of persistent and significant difficulty that places the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 xml:space="preserve"> at a substantial disadvantage under standard conditions.</w:t>
      </w:r>
    </w:p>
    <w:p w:rsidRPr="000C3463" w:rsidR="0033056E" w:rsidP="0033056E" w:rsidRDefault="0033056E" w14:paraId="718722A4" w14:textId="78D91625">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 xml:space="preserve">Information is gathered from teachers, families, and – where applicable – external reports such as psychological assessments or medical documents. The accommodation granted must reflect the </w:t>
      </w:r>
      <w:r w:rsidRPr="005A753B" w:rsidR="004E5D96">
        <w:rPr>
          <w:rFonts w:ascii="Calibri" w:hAnsi="Calibri" w:eastAsia="Times New Roman" w:cs="Calibri"/>
          <w:kern w:val="0"/>
          <w14:ligatures w14:val="none"/>
        </w:rPr>
        <w:t>student</w:t>
      </w:r>
      <w:r w:rsidRPr="000C3463">
        <w:rPr>
          <w:rFonts w:ascii="Calibri" w:hAnsi="Calibri" w:eastAsia="Times New Roman" w:cs="Calibri"/>
          <w:kern w:val="0"/>
          <w14:ligatures w14:val="none"/>
        </w:rPr>
        <w:t>’s usual way of working for at least six months prior to formal assessment.</w:t>
      </w:r>
    </w:p>
    <w:p w:rsidRPr="000C3463" w:rsidR="0033056E" w:rsidP="708F24E3" w:rsidRDefault="0033056E" w14:paraId="4F9D916D" w14:textId="60309E80">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Further details are outlined in the school’s Assessment Accommodations Policy.</w:t>
      </w:r>
    </w:p>
    <w:p w:rsidRPr="000C3463" w:rsidR="0033056E" w:rsidP="0033056E" w:rsidRDefault="0033056E" w14:paraId="6AE0D0D2"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12. Therapy in School</w:t>
      </w:r>
    </w:p>
    <w:p w:rsidRPr="000C3463" w:rsidR="0033056E" w:rsidP="708F24E3" w:rsidRDefault="0033056E" w14:paraId="4DB7FA68" w14:textId="41D2C085">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 xml:space="preserve">The school collaborates with external providers to facilitate therapy services on-site, including speech and language therapy, occupational therapy, and psychotherapy. Therapy is arranged directly between the family and the clinic. The clinic manages scheduling, registration, and billing. The school supports access to therapy during the school day where it aligns with the </w:t>
      </w:r>
      <w:r w:rsidRPr="708F24E3" w:rsidR="004E5D96">
        <w:rPr>
          <w:rFonts w:ascii="Calibri" w:hAnsi="Calibri" w:eastAsia="Times New Roman" w:cs="Calibri"/>
          <w:kern w:val="0"/>
          <w:lang w:val="en-US"/>
          <w14:ligatures w14:val="none"/>
        </w:rPr>
        <w:t>student</w:t>
      </w:r>
      <w:r w:rsidRPr="708F24E3" w:rsidR="0033056E">
        <w:rPr>
          <w:rFonts w:ascii="Calibri" w:hAnsi="Calibri" w:eastAsia="Times New Roman" w:cs="Calibri"/>
          <w:kern w:val="0"/>
          <w:lang w:val="en-US"/>
          <w14:ligatures w14:val="none"/>
        </w:rPr>
        <w:t>’s needs and educational programme.</w:t>
      </w:r>
    </w:p>
    <w:p w:rsidRPr="000C3463" w:rsidR="0033056E" w:rsidP="00462BFD" w:rsidRDefault="0033056E" w14:paraId="09E75A3C" w14:textId="069BD04E">
      <w:pPr>
        <w:spacing w:before="100" w:beforeAutospacing="1" w:after="100" w:afterAutospacing="1" w:line="240" w:lineRule="auto"/>
        <w:rPr>
          <w:rFonts w:ascii="Calibri" w:hAnsi="Calibri" w:eastAsia="Times New Roman" w:cs="Calibri"/>
          <w:kern w:val="0"/>
          <w14:ligatures w14:val="none"/>
        </w:rPr>
      </w:pPr>
      <w:r w:rsidRPr="000C3463">
        <w:rPr>
          <w:rFonts w:ascii="Calibri" w:hAnsi="Calibri" w:eastAsia="Times New Roman" w:cs="Calibri"/>
          <w:kern w:val="0"/>
          <w14:ligatures w14:val="none"/>
        </w:rPr>
        <w:t>Refer to the In-School Specialist Services Policy for further guidance.</w:t>
      </w:r>
    </w:p>
    <w:p w:rsidRPr="000C3463" w:rsidR="0033056E" w:rsidP="0033056E" w:rsidRDefault="0033056E" w14:paraId="0B7D59D6"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13. Fees</w:t>
      </w:r>
    </w:p>
    <w:p w:rsidRPr="000C3463" w:rsidR="0033056E" w:rsidP="708F24E3" w:rsidRDefault="0033056E" w14:paraId="62EC1665" w14:textId="77777777">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Muna British Academy does not charge additional fees for standard inclusive provision. This includes consultation with the inclusion team, teacher support, and small-group interventions delivered as part of the school’s internal provision.</w:t>
      </w:r>
    </w:p>
    <w:p w:rsidRPr="000C3463" w:rsidR="0033056E" w:rsidP="708F24E3" w:rsidRDefault="0033056E" w14:paraId="0051626C" w14:textId="784D3F00">
      <w:pPr>
        <w:spacing w:before="100" w:beforeAutospacing="on" w:after="100" w:afterAutospacing="on" w:line="240" w:lineRule="auto"/>
        <w:rPr>
          <w:rFonts w:ascii="Calibri" w:hAnsi="Calibri" w:eastAsia="Times New Roman" w:cs="Calibri"/>
          <w:kern w:val="0"/>
          <w:lang w:val="en-US"/>
          <w14:ligatures w14:val="none"/>
        </w:rPr>
      </w:pPr>
      <w:r w:rsidRPr="708F24E3" w:rsidR="0033056E">
        <w:rPr>
          <w:rFonts w:ascii="Calibri" w:hAnsi="Calibri" w:eastAsia="Times New Roman" w:cs="Calibri"/>
          <w:kern w:val="0"/>
          <w:lang w:val="en-US"/>
          <w14:ligatures w14:val="none"/>
        </w:rPr>
        <w:t>Additional fees may apply where services exceed the school’s standard provision, such as parent-funded Individual Assistants, external assessments, or therapies not covered by insurance. These are agreed with families in advance and reviewed annually.</w:t>
      </w:r>
    </w:p>
    <w:p w:rsidRPr="000C3463" w:rsidR="0033056E" w:rsidP="0033056E" w:rsidRDefault="0033056E" w14:paraId="4D39845A" w14:textId="77777777">
      <w:pPr>
        <w:spacing w:before="100" w:beforeAutospacing="1" w:after="100" w:afterAutospacing="1" w:line="240" w:lineRule="auto"/>
        <w:outlineLvl w:val="2"/>
        <w:rPr>
          <w:rFonts w:ascii="Calibri" w:hAnsi="Calibri" w:eastAsia="Times New Roman" w:cs="Calibri"/>
          <w:b/>
          <w:bCs/>
          <w:kern w:val="0"/>
          <w14:ligatures w14:val="none"/>
        </w:rPr>
      </w:pPr>
      <w:r w:rsidRPr="000C3463">
        <w:rPr>
          <w:rFonts w:ascii="Calibri" w:hAnsi="Calibri" w:eastAsia="Times New Roman" w:cs="Calibri"/>
          <w:b/>
          <w:bCs/>
          <w:kern w:val="0"/>
          <w14:ligatures w14:val="none"/>
        </w:rPr>
        <w:t>14. Roles and Responsibilities</w:t>
      </w:r>
    </w:p>
    <w:p w:rsidRPr="00E30E2F" w:rsidR="00E30E2F" w:rsidP="00E30E2F" w:rsidRDefault="00E30E2F" w14:paraId="70E6E718" w14:textId="77777777">
      <w:pPr>
        <w:spacing w:after="0" w:line="240" w:lineRule="auto"/>
        <w:rPr>
          <w:rFonts w:ascii="Calibri" w:hAnsi="Calibri" w:eastAsia="Times New Roman" w:cs="Calibri"/>
          <w:kern w:val="0"/>
          <w14:ligatures w14:val="none"/>
        </w:rPr>
      </w:pPr>
      <w:r w:rsidRPr="00E30E2F">
        <w:rPr>
          <w:rFonts w:ascii="Calibri" w:hAnsi="Calibri" w:eastAsia="Times New Roman" w:cs="Calibri"/>
          <w:b/>
          <w:bCs/>
          <w:kern w:val="0"/>
          <w14:ligatures w14:val="none"/>
        </w:rPr>
        <w:t>Governing Board</w:t>
      </w:r>
    </w:p>
    <w:p w:rsidRPr="005A753B" w:rsidR="00E30E2F" w:rsidP="708F24E3" w:rsidRDefault="00E30E2F" w14:paraId="653C8438" w14:textId="77777777">
      <w:pPr>
        <w:pStyle w:val="ListParagraph"/>
        <w:numPr>
          <w:ilvl w:val="0"/>
          <w:numId w:val="18"/>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Provides strategic oversight of the inclusion policy.</w:t>
      </w:r>
    </w:p>
    <w:p w:rsidRPr="005A753B" w:rsidR="00E30E2F" w:rsidP="708F24E3" w:rsidRDefault="00E30E2F" w14:paraId="5DA945F6" w14:textId="77777777">
      <w:pPr>
        <w:pStyle w:val="ListParagraph"/>
        <w:numPr>
          <w:ilvl w:val="0"/>
          <w:numId w:val="18"/>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Approves the budget for inclusion provisions.</w:t>
      </w:r>
    </w:p>
    <w:p w:rsidRPr="005A753B" w:rsidR="00E30E2F" w:rsidP="00E30E2F" w:rsidRDefault="00E30E2F" w14:paraId="41EDE49B" w14:textId="77777777">
      <w:pPr>
        <w:pStyle w:val="ListParagraph"/>
        <w:numPr>
          <w:ilvl w:val="0"/>
          <w:numId w:val="18"/>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Monitors the school’s compliance with inclusion and accessibility requirements.</w:t>
      </w:r>
    </w:p>
    <w:p w:rsidRPr="00E30E2F" w:rsidR="00E30E2F" w:rsidP="00E30E2F" w:rsidRDefault="00E30E2F" w14:paraId="5E67D9E9" w14:textId="77777777">
      <w:pPr>
        <w:spacing w:after="0" w:line="240" w:lineRule="auto"/>
        <w:rPr>
          <w:rFonts w:ascii="Calibri" w:hAnsi="Calibri" w:eastAsia="Times New Roman" w:cs="Calibri"/>
          <w:kern w:val="0"/>
          <w14:ligatures w14:val="none"/>
        </w:rPr>
      </w:pPr>
      <w:r w:rsidRPr="00E30E2F">
        <w:rPr>
          <w:rFonts w:ascii="Calibri" w:hAnsi="Calibri" w:eastAsia="Times New Roman" w:cs="Calibri"/>
          <w:b/>
          <w:bCs/>
          <w:kern w:val="0"/>
          <w14:ligatures w14:val="none"/>
        </w:rPr>
        <w:t>Principal</w:t>
      </w:r>
    </w:p>
    <w:p w:rsidRPr="005A753B" w:rsidR="00E30E2F" w:rsidP="00E30E2F" w:rsidRDefault="00E30E2F" w14:paraId="6132422B" w14:textId="64A19BEA">
      <w:pPr>
        <w:pStyle w:val="NormalWeb"/>
        <w:numPr>
          <w:ilvl w:val="0"/>
          <w:numId w:val="23"/>
        </w:numPr>
        <w:spacing w:before="0" w:beforeAutospacing="0" w:after="0" w:afterAutospacing="0"/>
        <w:rPr>
          <w:rFonts w:ascii="Calibri" w:hAnsi="Calibri" w:cs="Calibri"/>
        </w:rPr>
      </w:pPr>
      <w:r w:rsidRPr="005A753B">
        <w:rPr>
          <w:rFonts w:ascii="Calibri" w:hAnsi="Calibri" w:cs="Calibri"/>
        </w:rPr>
        <w:t>Ensuring that inclusive education is a key agenda item in leadership and Governing Board meetings.</w:t>
      </w:r>
    </w:p>
    <w:p w:rsidRPr="005A753B" w:rsidR="00E30E2F" w:rsidP="708F24E3" w:rsidRDefault="00E30E2F" w14:paraId="60215053" w14:textId="26E75AF8">
      <w:pPr>
        <w:pStyle w:val="NormalWeb"/>
        <w:numPr>
          <w:ilvl w:val="0"/>
          <w:numId w:val="23"/>
        </w:numPr>
        <w:spacing w:before="0" w:beforeAutospacing="off" w:after="0" w:afterAutospacing="off"/>
        <w:rPr>
          <w:rFonts w:ascii="Calibri" w:hAnsi="Calibri" w:cs="Calibri"/>
          <w:lang w:val="en-US"/>
        </w:rPr>
      </w:pPr>
      <w:r w:rsidRPr="708F24E3" w:rsidR="00E30E2F">
        <w:rPr>
          <w:rFonts w:ascii="Calibri" w:hAnsi="Calibri" w:cs="Calibri"/>
          <w:lang w:val="en-US"/>
        </w:rPr>
        <w:t>Developing and reviewing inclusive provisions as part of the School Development Plan, with measurable targets to monitor progress.</w:t>
      </w:r>
    </w:p>
    <w:p w:rsidRPr="005A753B" w:rsidR="00E30E2F" w:rsidP="708F24E3" w:rsidRDefault="00E30E2F" w14:paraId="79135EC9" w14:textId="14999258">
      <w:pPr>
        <w:pStyle w:val="NormalWeb"/>
        <w:numPr>
          <w:ilvl w:val="0"/>
          <w:numId w:val="23"/>
        </w:numPr>
        <w:spacing w:before="0" w:beforeAutospacing="off" w:after="0" w:afterAutospacing="off"/>
        <w:rPr>
          <w:rFonts w:ascii="Calibri" w:hAnsi="Calibri" w:cs="Calibri"/>
          <w:lang w:val="en-US"/>
        </w:rPr>
      </w:pPr>
      <w:r w:rsidRPr="708F24E3" w:rsidR="00E30E2F">
        <w:rPr>
          <w:rFonts w:ascii="Calibri" w:hAnsi="Calibri" w:cs="Calibri"/>
          <w:lang w:val="en-US"/>
        </w:rPr>
        <w:t>Appointing a senior leadership team member to oversee inclusion and a Head of Inclusion to coordinate support for students with additional needs.</w:t>
      </w:r>
    </w:p>
    <w:p w:rsidRPr="005A753B" w:rsidR="00E30E2F" w:rsidP="708F24E3" w:rsidRDefault="00E30E2F" w14:paraId="77282EAA" w14:textId="629000ED">
      <w:pPr>
        <w:pStyle w:val="NormalWeb"/>
        <w:numPr>
          <w:ilvl w:val="0"/>
          <w:numId w:val="23"/>
        </w:numPr>
        <w:spacing w:before="0" w:beforeAutospacing="off" w:after="0" w:afterAutospacing="off"/>
        <w:rPr>
          <w:rFonts w:ascii="Calibri" w:hAnsi="Calibri" w:cs="Calibri"/>
          <w:lang w:val="en-US"/>
        </w:rPr>
      </w:pPr>
      <w:r w:rsidRPr="708F24E3" w:rsidR="00E30E2F">
        <w:rPr>
          <w:rFonts w:ascii="Calibri" w:hAnsi="Calibri" w:cs="Calibri"/>
          <w:lang w:val="en-US"/>
        </w:rPr>
        <w:t>Designating staff responsible for supporting multilingual learners (EAL Coordinator) and gifted/talented students (G&amp;T Coordinator).</w:t>
      </w:r>
    </w:p>
    <w:p w:rsidRPr="00E30E2F" w:rsidR="00E30E2F" w:rsidP="00E30E2F" w:rsidRDefault="00E30E2F" w14:paraId="3DF0479D" w14:textId="77777777">
      <w:pPr>
        <w:spacing w:after="0" w:line="240" w:lineRule="auto"/>
        <w:rPr>
          <w:rFonts w:ascii="Calibri" w:hAnsi="Calibri" w:eastAsia="Times New Roman" w:cs="Calibri"/>
          <w:kern w:val="0"/>
          <w14:ligatures w14:val="none"/>
        </w:rPr>
      </w:pPr>
      <w:r w:rsidRPr="00E30E2F">
        <w:rPr>
          <w:rFonts w:ascii="Calibri" w:hAnsi="Calibri" w:eastAsia="Times New Roman" w:cs="Calibri"/>
          <w:b/>
          <w:bCs/>
          <w:kern w:val="0"/>
          <w14:ligatures w14:val="none"/>
        </w:rPr>
        <w:t>Head of Inclusion</w:t>
      </w:r>
    </w:p>
    <w:p w:rsidRPr="005A753B" w:rsidR="00E30E2F" w:rsidP="00E30E2F" w:rsidRDefault="00E30E2F" w14:paraId="45F81FF6" w14:textId="77777777">
      <w:pPr>
        <w:pStyle w:val="ListParagraph"/>
        <w:numPr>
          <w:ilvl w:val="0"/>
          <w:numId w:val="20"/>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Coordinates and oversees the implementation of inclusion strategies across the school.</w:t>
      </w:r>
    </w:p>
    <w:p w:rsidRPr="005A753B" w:rsidR="00E30E2F" w:rsidP="708F24E3" w:rsidRDefault="00E30E2F" w14:paraId="5AEEF69C" w14:textId="77777777">
      <w:pPr>
        <w:pStyle w:val="ListParagraph"/>
        <w:numPr>
          <w:ilvl w:val="0"/>
          <w:numId w:val="20"/>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Leads the Inclusion Team in supporting students with additional learning needs.</w:t>
      </w:r>
    </w:p>
    <w:p w:rsidRPr="005A753B" w:rsidR="00E30E2F" w:rsidP="00E30E2F" w:rsidRDefault="00E30E2F" w14:paraId="1C779B23" w14:textId="77777777">
      <w:pPr>
        <w:pStyle w:val="ListParagraph"/>
        <w:numPr>
          <w:ilvl w:val="0"/>
          <w:numId w:val="20"/>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Acts as a key liaison between parents, staff, external professionals, and students.</w:t>
      </w:r>
    </w:p>
    <w:p w:rsidRPr="005A753B" w:rsidR="00E30E2F" w:rsidP="00E30E2F" w:rsidRDefault="00E30E2F" w14:paraId="338746BD" w14:textId="77777777">
      <w:pPr>
        <w:pStyle w:val="ListParagraph"/>
        <w:numPr>
          <w:ilvl w:val="0"/>
          <w:numId w:val="20"/>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Ensures staff receive ongoing professional development related to inclusion.</w:t>
      </w:r>
    </w:p>
    <w:p w:rsidRPr="00E30E2F" w:rsidR="00E30E2F" w:rsidP="00E30E2F" w:rsidRDefault="00E30E2F" w14:paraId="67B17CE7" w14:textId="77777777">
      <w:pPr>
        <w:spacing w:after="0" w:line="240" w:lineRule="auto"/>
        <w:rPr>
          <w:rFonts w:ascii="Calibri" w:hAnsi="Calibri" w:eastAsia="Times New Roman" w:cs="Calibri"/>
          <w:kern w:val="0"/>
          <w14:ligatures w14:val="none"/>
        </w:rPr>
      </w:pPr>
      <w:r w:rsidRPr="00E30E2F">
        <w:rPr>
          <w:rFonts w:ascii="Calibri" w:hAnsi="Calibri" w:eastAsia="Times New Roman" w:cs="Calibri"/>
          <w:b/>
          <w:bCs/>
          <w:kern w:val="0"/>
          <w14:ligatures w14:val="none"/>
        </w:rPr>
        <w:t>Teaching and Support Staff</w:t>
      </w:r>
    </w:p>
    <w:p w:rsidRPr="005A753B" w:rsidR="00E30E2F" w:rsidP="00E30E2F" w:rsidRDefault="00E30E2F" w14:paraId="1F118542" w14:textId="77777777">
      <w:pPr>
        <w:pStyle w:val="ListParagraph"/>
        <w:numPr>
          <w:ilvl w:val="0"/>
          <w:numId w:val="21"/>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Deliver inclusive, high-quality teaching that meets the diverse needs of all students.</w:t>
      </w:r>
    </w:p>
    <w:p w:rsidRPr="005A753B" w:rsidR="00E30E2F" w:rsidP="708F24E3" w:rsidRDefault="00E30E2F" w14:paraId="7E31F88F" w14:textId="77777777">
      <w:pPr>
        <w:pStyle w:val="ListParagraph"/>
        <w:numPr>
          <w:ilvl w:val="0"/>
          <w:numId w:val="21"/>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Identify and raise concerns regarding students’ additional learning needs.</w:t>
      </w:r>
    </w:p>
    <w:p w:rsidRPr="005A753B" w:rsidR="00E30E2F" w:rsidP="708F24E3" w:rsidRDefault="00E30E2F" w14:paraId="5E198002" w14:textId="77777777">
      <w:pPr>
        <w:pStyle w:val="ListParagraph"/>
        <w:numPr>
          <w:ilvl w:val="0"/>
          <w:numId w:val="21"/>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Collaborate with the Inclusion Team to implement personalised learning plans and strategies.</w:t>
      </w:r>
    </w:p>
    <w:p w:rsidRPr="005A753B" w:rsidR="00E30E2F" w:rsidP="00E30E2F" w:rsidRDefault="00E30E2F" w14:paraId="1350A286" w14:textId="77777777">
      <w:pPr>
        <w:pStyle w:val="ListParagraph"/>
        <w:numPr>
          <w:ilvl w:val="0"/>
          <w:numId w:val="21"/>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Engage with parents and carers to support students’ progress and well-being.</w:t>
      </w:r>
    </w:p>
    <w:p w:rsidRPr="00E30E2F" w:rsidR="00E30E2F" w:rsidP="00E30E2F" w:rsidRDefault="00E30E2F" w14:paraId="1777A156" w14:textId="77777777">
      <w:pPr>
        <w:spacing w:after="0" w:line="240" w:lineRule="auto"/>
        <w:rPr>
          <w:rFonts w:ascii="Calibri" w:hAnsi="Calibri" w:eastAsia="Times New Roman" w:cs="Calibri"/>
          <w:kern w:val="0"/>
          <w14:ligatures w14:val="none"/>
        </w:rPr>
      </w:pPr>
      <w:r w:rsidRPr="00E30E2F">
        <w:rPr>
          <w:rFonts w:ascii="Calibri" w:hAnsi="Calibri" w:eastAsia="Times New Roman" w:cs="Calibri"/>
          <w:b/>
          <w:bCs/>
          <w:kern w:val="0"/>
          <w14:ligatures w14:val="none"/>
        </w:rPr>
        <w:t>Parents and Carers</w:t>
      </w:r>
    </w:p>
    <w:p w:rsidRPr="005A753B" w:rsidR="00E30E2F" w:rsidP="00E30E2F" w:rsidRDefault="00E30E2F" w14:paraId="63750BA0" w14:textId="77777777">
      <w:pPr>
        <w:pStyle w:val="ListParagraph"/>
        <w:numPr>
          <w:ilvl w:val="0"/>
          <w:numId w:val="22"/>
        </w:numPr>
        <w:spacing w:after="0" w:line="240" w:lineRule="auto"/>
        <w:rPr>
          <w:rFonts w:ascii="Calibri" w:hAnsi="Calibri" w:eastAsia="Times New Roman" w:cs="Calibri"/>
          <w:kern w:val="0"/>
          <w14:ligatures w14:val="none"/>
        </w:rPr>
      </w:pPr>
      <w:r w:rsidRPr="005A753B">
        <w:rPr>
          <w:rFonts w:ascii="Calibri" w:hAnsi="Calibri" w:eastAsia="Times New Roman" w:cs="Calibri"/>
          <w:kern w:val="0"/>
          <w14:ligatures w14:val="none"/>
        </w:rPr>
        <w:t>Work in partnership with the school to support their child’s learning and well-being.</w:t>
      </w:r>
    </w:p>
    <w:p w:rsidRPr="005A753B" w:rsidR="00E30E2F" w:rsidP="708F24E3" w:rsidRDefault="00E30E2F" w14:paraId="1C4BD97C" w14:textId="77777777">
      <w:pPr>
        <w:pStyle w:val="ListParagraph"/>
        <w:numPr>
          <w:ilvl w:val="0"/>
          <w:numId w:val="22"/>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Share relevant information regarding their child’s needs to inform planning and provision.</w:t>
      </w:r>
    </w:p>
    <w:p w:rsidRPr="005A753B" w:rsidR="00E30E2F" w:rsidP="708F24E3" w:rsidRDefault="00E30E2F" w14:paraId="24E33427" w14:textId="77777777">
      <w:pPr>
        <w:pStyle w:val="ListParagraph"/>
        <w:numPr>
          <w:ilvl w:val="0"/>
          <w:numId w:val="22"/>
        </w:numPr>
        <w:spacing w:after="0" w:line="240" w:lineRule="auto"/>
        <w:rPr>
          <w:rFonts w:ascii="Calibri" w:hAnsi="Calibri" w:eastAsia="Times New Roman" w:cs="Calibri"/>
          <w:kern w:val="0"/>
          <w:lang w:val="en-US"/>
          <w14:ligatures w14:val="none"/>
        </w:rPr>
      </w:pPr>
      <w:r w:rsidRPr="708F24E3" w:rsidR="00E30E2F">
        <w:rPr>
          <w:rFonts w:ascii="Calibri" w:hAnsi="Calibri" w:eastAsia="Times New Roman" w:cs="Calibri"/>
          <w:kern w:val="0"/>
          <w:lang w:val="en-US"/>
          <w14:ligatures w14:val="none"/>
        </w:rPr>
        <w:t>Participate in regular reviews of personalised plans and interventions.</w:t>
      </w:r>
    </w:p>
    <w:p w:rsidRPr="000C3463" w:rsidR="00462BFD" w:rsidP="00462BFD" w:rsidRDefault="00462BFD" w14:paraId="53CCD740" w14:textId="77777777">
      <w:pPr>
        <w:spacing w:before="100" w:beforeAutospacing="1" w:after="100" w:afterAutospacing="1" w:line="240" w:lineRule="auto"/>
        <w:ind w:left="720"/>
        <w:rPr>
          <w:rFonts w:ascii="Calibri" w:hAnsi="Calibri" w:eastAsia="Times New Roman" w:cs="Calibri"/>
          <w:kern w:val="0"/>
          <w14:ligatures w14:val="none"/>
        </w:rPr>
      </w:pPr>
    </w:p>
    <w:p w:rsidRPr="005A753B" w:rsidR="00A806F4" w:rsidP="0010085F" w:rsidRDefault="00A806F4" w14:paraId="3D5C71ED" w14:textId="77777777">
      <w:pPr>
        <w:spacing w:after="0" w:line="240" w:lineRule="auto"/>
        <w:rPr>
          <w:rFonts w:ascii="Calibri" w:hAnsi="Calibri" w:cs="Calibri"/>
          <w:lang w:val="en-GB"/>
        </w:rPr>
      </w:pPr>
    </w:p>
    <w:p w:rsidRPr="005A753B" w:rsidR="00C61806" w:rsidP="0010085F" w:rsidRDefault="00C61806" w14:paraId="73D06029" w14:textId="15BC679F">
      <w:pPr>
        <w:spacing w:after="0" w:line="240" w:lineRule="auto"/>
        <w:rPr>
          <w:rFonts w:ascii="Calibri" w:hAnsi="Calibri" w:cs="Calibri"/>
          <w:lang w:val="en-GB"/>
        </w:rPr>
      </w:pPr>
    </w:p>
    <w:sectPr w:rsidRPr="005A753B" w:rsidR="00C61806">
      <w:headerReference w:type="default" r:id="rId11"/>
      <w:footerReference w:type="even" r:id="rId12"/>
      <w:footerReference w:type="default" r:id="rId13"/>
      <w:footerReference w:type="firs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2F7" w:rsidP="00ED14E5" w:rsidRDefault="009632F7" w14:paraId="12FCD881" w14:textId="77777777">
      <w:pPr>
        <w:spacing w:after="0" w:line="240" w:lineRule="auto"/>
      </w:pPr>
      <w:r>
        <w:separator/>
      </w:r>
    </w:p>
  </w:endnote>
  <w:endnote w:type="continuationSeparator" w:id="0">
    <w:p w:rsidR="009632F7" w:rsidP="00ED14E5" w:rsidRDefault="009632F7" w14:paraId="71EA86C9" w14:textId="77777777">
      <w:pPr>
        <w:spacing w:after="0" w:line="240" w:lineRule="auto"/>
      </w:pPr>
      <w:r>
        <w:continuationSeparator/>
      </w:r>
    </w:p>
  </w:endnote>
  <w:endnote w:type="continuationNotice" w:id="1">
    <w:p w:rsidR="009632F7" w:rsidRDefault="009632F7" w14:paraId="6DD2D3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D14E5" w:rsidRDefault="00ED14E5" w14:paraId="756FD369" w14:textId="4F4F7EAA">
    <w:pPr>
      <w:pStyle w:val="Footer"/>
    </w:pPr>
    <w:r>
      <w:rPr>
        <w:noProof/>
      </w:rPr>
      <mc:AlternateContent>
        <mc:Choice Requires="wps">
          <w:drawing>
            <wp:anchor distT="0" distB="0" distL="0" distR="0" simplePos="0" relativeHeight="251658241" behindDoc="0" locked="0" layoutInCell="1" allowOverlap="1" wp14:anchorId="37BB1C5F" wp14:editId="07C439FA">
              <wp:simplePos x="635" y="635"/>
              <wp:positionH relativeFrom="page">
                <wp:align>right</wp:align>
              </wp:positionH>
              <wp:positionV relativeFrom="page">
                <wp:align>bottom</wp:align>
              </wp:positionV>
              <wp:extent cx="2275840" cy="370205"/>
              <wp:effectExtent l="0" t="0" r="0" b="0"/>
              <wp:wrapNone/>
              <wp:docPr id="749030649" name="Text Box 2" descr="Classification: General Internal Purpo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75840" cy="370205"/>
                      </a:xfrm>
                      <a:prstGeom prst="rect">
                        <a:avLst/>
                      </a:prstGeom>
                      <a:noFill/>
                      <a:ln>
                        <a:noFill/>
                      </a:ln>
                    </wps:spPr>
                    <wps:txbx>
                      <w:txbxContent>
                        <w:p w:rsidRPr="00ED14E5" w:rsidR="00ED14E5" w:rsidP="00ED14E5" w:rsidRDefault="00ED14E5" w14:paraId="57F6DB17" w14:textId="343FE443">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46F135B2">
            <v:shapetype id="_x0000_t202" coordsize="21600,21600" o:spt="202" path="m,l,21600r21600,l21600,xe" w14:anchorId="37BB1C5F">
              <v:stroke joinstyle="miter"/>
              <v:path gradientshapeok="t" o:connecttype="rect"/>
            </v:shapetype>
            <v:shape id="Text Box 2" style="position:absolute;margin-left:128pt;margin-top:0;width:179.2pt;height:29.15pt;z-index:251658241;visibility:visible;mso-wrap-style:none;mso-wrap-distance-left:0;mso-wrap-distance-top:0;mso-wrap-distance-right:0;mso-wrap-distance-bottom:0;mso-position-horizontal:right;mso-position-horizontal-relative:page;mso-position-vertical:bottom;mso-position-vertical-relative:page;v-text-anchor:bottom" alt="Classification: General Internal Purpose"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">
              <v:textbox style="mso-fit-shape-to-text:t" inset="0,0,20pt,15pt">
                <w:txbxContent>
                  <w:p w:rsidRPr="00ED14E5" w:rsidR="00ED14E5" w:rsidP="00ED14E5" w:rsidRDefault="00ED14E5" w14:paraId="1AC68ED0" w14:textId="343FE443">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D14E5" w:rsidRDefault="00ED14E5" w14:paraId="68C401FA" w14:textId="6D3A5233">
    <w:pPr>
      <w:pStyle w:val="Footer"/>
    </w:pPr>
    <w:r>
      <w:rPr>
        <w:noProof/>
      </w:rPr>
      <mc:AlternateContent>
        <mc:Choice Requires="wps">
          <w:drawing>
            <wp:anchor distT="0" distB="0" distL="0" distR="0" simplePos="0" relativeHeight="251658242" behindDoc="0" locked="0" layoutInCell="1" allowOverlap="1" wp14:anchorId="71706C67" wp14:editId="7D9C54DA">
              <wp:simplePos x="0" y="0"/>
              <wp:positionH relativeFrom="page">
                <wp:align>right</wp:align>
              </wp:positionH>
              <wp:positionV relativeFrom="page">
                <wp:align>bottom</wp:align>
              </wp:positionV>
              <wp:extent cx="2275840" cy="370205"/>
              <wp:effectExtent l="0" t="0" r="0" b="0"/>
              <wp:wrapNone/>
              <wp:docPr id="404311713" name="Text Box 3" descr="Classification: General Internal Purpo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75840" cy="370205"/>
                      </a:xfrm>
                      <a:prstGeom prst="rect">
                        <a:avLst/>
                      </a:prstGeom>
                      <a:noFill/>
                      <a:ln>
                        <a:noFill/>
                      </a:ln>
                    </wps:spPr>
                    <wps:txbx>
                      <w:txbxContent>
                        <w:p w:rsidRPr="00ED14E5" w:rsidR="00ED14E5" w:rsidP="00ED14E5" w:rsidRDefault="00ED14E5" w14:paraId="05C7A6D8" w14:textId="57585348">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1FA1957B">
            <v:shapetype id="_x0000_t202" coordsize="21600,21600" o:spt="202" path="m,l,21600r21600,l21600,xe" w14:anchorId="71706C67">
              <v:stroke joinstyle="miter"/>
              <v:path gradientshapeok="t" o:connecttype="rect"/>
            </v:shapetype>
            <v:shape id="Text Box 3" style="position:absolute;margin-left:128pt;margin-top:0;width:179.2pt;height:29.15pt;z-index:251658242;visibility:visible;mso-wrap-style:none;mso-wrap-distance-left:0;mso-wrap-distance-top:0;mso-wrap-distance-right:0;mso-wrap-distance-bottom:0;mso-position-horizontal:right;mso-position-horizontal-relative:page;mso-position-vertical:bottom;mso-position-vertical-relative:page;v-text-anchor:bottom" alt="Classification: General Internal Purpose"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">
              <v:textbox style="mso-fit-shape-to-text:t" inset="0,0,20pt,15pt">
                <w:txbxContent>
                  <w:p w:rsidRPr="00ED14E5" w:rsidR="00ED14E5" w:rsidP="00ED14E5" w:rsidRDefault="00ED14E5" w14:paraId="0E1E345B" w14:textId="57585348">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D14E5" w:rsidRDefault="00ED14E5" w14:paraId="18C48032" w14:textId="0B38DFE0">
    <w:pPr>
      <w:pStyle w:val="Footer"/>
    </w:pPr>
    <w:r>
      <w:rPr>
        <w:noProof/>
      </w:rPr>
      <mc:AlternateContent>
        <mc:Choice Requires="wps">
          <w:drawing>
            <wp:anchor distT="0" distB="0" distL="0" distR="0" simplePos="0" relativeHeight="251658240" behindDoc="0" locked="0" layoutInCell="1" allowOverlap="1" wp14:anchorId="1FF1478E" wp14:editId="7E06A837">
              <wp:simplePos x="635" y="635"/>
              <wp:positionH relativeFrom="page">
                <wp:align>right</wp:align>
              </wp:positionH>
              <wp:positionV relativeFrom="page">
                <wp:align>bottom</wp:align>
              </wp:positionV>
              <wp:extent cx="2275840" cy="370205"/>
              <wp:effectExtent l="0" t="0" r="0" b="0"/>
              <wp:wrapNone/>
              <wp:docPr id="1746879406" name="Text Box 1" descr="Classification: General Internal Purpo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75840" cy="370205"/>
                      </a:xfrm>
                      <a:prstGeom prst="rect">
                        <a:avLst/>
                      </a:prstGeom>
                      <a:noFill/>
                      <a:ln>
                        <a:noFill/>
                      </a:ln>
                    </wps:spPr>
                    <wps:txbx>
                      <w:txbxContent>
                        <w:p w:rsidRPr="00ED14E5" w:rsidR="00ED14E5" w:rsidP="00ED14E5" w:rsidRDefault="00ED14E5" w14:paraId="5982B20C" w14:textId="05F55034">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5FC4F162">
            <v:shapetype id="_x0000_t202" coordsize="21600,21600" o:spt="202" path="m,l,21600r21600,l21600,xe" w14:anchorId="1FF1478E">
              <v:stroke joinstyle="miter"/>
              <v:path gradientshapeok="t" o:connecttype="rect"/>
            </v:shapetype>
            <v:shape id="Text Box 1" style="position:absolute;margin-left:128pt;margin-top:0;width:179.2pt;height:29.15pt;z-index:251658240;visibility:visible;mso-wrap-style:none;mso-wrap-distance-left:0;mso-wrap-distance-top:0;mso-wrap-distance-right:0;mso-wrap-distance-bottom:0;mso-position-horizontal:right;mso-position-horizontal-relative:page;mso-position-vertical:bottom;mso-position-vertical-relative:page;v-text-anchor:bottom" alt="Classification: General Internal Purpose"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">
              <v:textbox style="mso-fit-shape-to-text:t" inset="0,0,20pt,15pt">
                <w:txbxContent>
                  <w:p w:rsidRPr="00ED14E5" w:rsidR="00ED14E5" w:rsidP="00ED14E5" w:rsidRDefault="00ED14E5" w14:paraId="1AD655F1" w14:textId="05F55034">
                    <w:pPr>
                      <w:spacing w:after="0"/>
                      <w:rPr>
                        <w:rFonts w:ascii="Calibri" w:hAnsi="Calibri" w:eastAsia="Calibri" w:cs="Calibri"/>
                        <w:noProof/>
                        <w:color w:val="0000FF"/>
                        <w:sz w:val="20"/>
                        <w:szCs w:val="20"/>
                      </w:rPr>
                    </w:pPr>
                    <w:r w:rsidRPr="00ED14E5">
                      <w:rPr>
                        <w:rFonts w:ascii="Calibri" w:hAnsi="Calibri" w:eastAsia="Calibri" w:cs="Calibri"/>
                        <w:noProof/>
                        <w:color w:val="0000FF"/>
                        <w:sz w:val="20"/>
                        <w:szCs w:val="20"/>
                      </w:rPr>
                      <w:t>Classification: General Internal Purpose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2F7" w:rsidP="00ED14E5" w:rsidRDefault="009632F7" w14:paraId="75F56C8C" w14:textId="77777777">
      <w:pPr>
        <w:spacing w:after="0" w:line="240" w:lineRule="auto"/>
      </w:pPr>
      <w:r>
        <w:separator/>
      </w:r>
    </w:p>
  </w:footnote>
  <w:footnote w:type="continuationSeparator" w:id="0">
    <w:p w:rsidR="009632F7" w:rsidP="00ED14E5" w:rsidRDefault="009632F7" w14:paraId="6073DC76" w14:textId="77777777">
      <w:pPr>
        <w:spacing w:after="0" w:line="240" w:lineRule="auto"/>
      </w:pPr>
      <w:r>
        <w:continuationSeparator/>
      </w:r>
    </w:p>
  </w:footnote>
  <w:footnote w:type="continuationNotice" w:id="1">
    <w:p w:rsidR="009632F7" w:rsidRDefault="009632F7" w14:paraId="65ADB71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6FAF" w:rsidRDefault="00386FAF" w14:paraId="09719C0C" w14:textId="0581CE50">
    <w:pPr>
      <w:pStyle w:val="Header"/>
    </w:pPr>
    <w:r>
      <w:rPr>
        <w:noProof/>
      </w:rPr>
      <w:drawing>
        <wp:anchor distT="0" distB="0" distL="114300" distR="114300" simplePos="0" relativeHeight="251660290" behindDoc="0" locked="0" layoutInCell="1" allowOverlap="1" wp14:anchorId="5FD47C45" wp14:editId="5DD1F656">
          <wp:simplePos x="0" y="0"/>
          <wp:positionH relativeFrom="margin">
            <wp:posOffset>-124460</wp:posOffset>
          </wp:positionH>
          <wp:positionV relativeFrom="paragraph">
            <wp:posOffset>-287020</wp:posOffset>
          </wp:positionV>
          <wp:extent cx="6285865" cy="1108075"/>
          <wp:effectExtent l="0" t="0" r="635" b="0"/>
          <wp:wrapSquare wrapText="bothSides"/>
          <wp:docPr id="1652940803" name="Picture 1652940803" descr="A picture containing text, font,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45679" name="Picture 6" descr="A picture containing text, font, white,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5865" cy="1108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4BB"/>
    <w:multiLevelType w:val="hybridMultilevel"/>
    <w:tmpl w:val="4CEA2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7A0B7F"/>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D93109"/>
    <w:multiLevelType w:val="hybridMultilevel"/>
    <w:tmpl w:val="C15C6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C00DF7"/>
    <w:multiLevelType w:val="hybridMultilevel"/>
    <w:tmpl w:val="FE3833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F92D94"/>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6F77C7C"/>
    <w:multiLevelType w:val="hybridMultilevel"/>
    <w:tmpl w:val="CB369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AB77DA"/>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721FFA"/>
    <w:multiLevelType w:val="multilevel"/>
    <w:tmpl w:val="C4C08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E401FD"/>
    <w:multiLevelType w:val="multilevel"/>
    <w:tmpl w:val="CA42E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EB90007"/>
    <w:multiLevelType w:val="multilevel"/>
    <w:tmpl w:val="87183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18C4812"/>
    <w:multiLevelType w:val="hybridMultilevel"/>
    <w:tmpl w:val="48BE13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6920B97"/>
    <w:multiLevelType w:val="hybridMultilevel"/>
    <w:tmpl w:val="A1BC18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81C0C32"/>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485BB1"/>
    <w:multiLevelType w:val="multilevel"/>
    <w:tmpl w:val="B2201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1957E7C"/>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8D111AF"/>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8FA25B8"/>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B9F1D96"/>
    <w:multiLevelType w:val="multilevel"/>
    <w:tmpl w:val="629EA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0532346"/>
    <w:multiLevelType w:val="hybridMultilevel"/>
    <w:tmpl w:val="B8B20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7F029B"/>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19F69CE"/>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2A35E0"/>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F6A697B"/>
    <w:multiLevelType w:val="multilevel"/>
    <w:tmpl w:val="3B28D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2234910">
    <w:abstractNumId w:val="2"/>
  </w:num>
  <w:num w:numId="2" w16cid:durableId="15351628">
    <w:abstractNumId w:val="0"/>
  </w:num>
  <w:num w:numId="3" w16cid:durableId="587542099">
    <w:abstractNumId w:val="18"/>
  </w:num>
  <w:num w:numId="4" w16cid:durableId="37779475">
    <w:abstractNumId w:val="10"/>
  </w:num>
  <w:num w:numId="5" w16cid:durableId="2050454927">
    <w:abstractNumId w:val="11"/>
  </w:num>
  <w:num w:numId="6" w16cid:durableId="5013276">
    <w:abstractNumId w:val="3"/>
  </w:num>
  <w:num w:numId="7" w16cid:durableId="1713073680">
    <w:abstractNumId w:val="13"/>
  </w:num>
  <w:num w:numId="8" w16cid:durableId="1030574550">
    <w:abstractNumId w:val="8"/>
  </w:num>
  <w:num w:numId="9" w16cid:durableId="739988684">
    <w:abstractNumId w:val="9"/>
  </w:num>
  <w:num w:numId="10" w16cid:durableId="272827830">
    <w:abstractNumId w:val="17"/>
  </w:num>
  <w:num w:numId="11" w16cid:durableId="1543906796">
    <w:abstractNumId w:val="15"/>
  </w:num>
  <w:num w:numId="12" w16cid:durableId="649478607">
    <w:abstractNumId w:val="7"/>
  </w:num>
  <w:num w:numId="13" w16cid:durableId="895093245">
    <w:abstractNumId w:val="19"/>
  </w:num>
  <w:num w:numId="14" w16cid:durableId="1222906227">
    <w:abstractNumId w:val="20"/>
  </w:num>
  <w:num w:numId="15" w16cid:durableId="923802015">
    <w:abstractNumId w:val="4"/>
  </w:num>
  <w:num w:numId="16" w16cid:durableId="1195465835">
    <w:abstractNumId w:val="1"/>
  </w:num>
  <w:num w:numId="17" w16cid:durableId="454639457">
    <w:abstractNumId w:val="12"/>
  </w:num>
  <w:num w:numId="18" w16cid:durableId="1709407644">
    <w:abstractNumId w:val="6"/>
  </w:num>
  <w:num w:numId="19" w16cid:durableId="1670718652">
    <w:abstractNumId w:val="22"/>
  </w:num>
  <w:num w:numId="20" w16cid:durableId="17122227">
    <w:abstractNumId w:val="21"/>
  </w:num>
  <w:num w:numId="21" w16cid:durableId="1073770178">
    <w:abstractNumId w:val="14"/>
  </w:num>
  <w:num w:numId="22" w16cid:durableId="1071197031">
    <w:abstractNumId w:val="16"/>
  </w:num>
  <w:num w:numId="23" w16cid:durableId="98389663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F4"/>
    <w:rsid w:val="00041615"/>
    <w:rsid w:val="000D2A70"/>
    <w:rsid w:val="0010085F"/>
    <w:rsid w:val="001951F1"/>
    <w:rsid w:val="0028614F"/>
    <w:rsid w:val="002E054D"/>
    <w:rsid w:val="0033056E"/>
    <w:rsid w:val="00331B11"/>
    <w:rsid w:val="00386FAF"/>
    <w:rsid w:val="0044745E"/>
    <w:rsid w:val="00462BFD"/>
    <w:rsid w:val="00470EDA"/>
    <w:rsid w:val="004E5D96"/>
    <w:rsid w:val="00531134"/>
    <w:rsid w:val="005A753B"/>
    <w:rsid w:val="00602F99"/>
    <w:rsid w:val="006149CB"/>
    <w:rsid w:val="006E3088"/>
    <w:rsid w:val="006F4E92"/>
    <w:rsid w:val="00751ABC"/>
    <w:rsid w:val="0078338D"/>
    <w:rsid w:val="008060C3"/>
    <w:rsid w:val="0085255B"/>
    <w:rsid w:val="008E61A8"/>
    <w:rsid w:val="0092285D"/>
    <w:rsid w:val="009632F7"/>
    <w:rsid w:val="00A0253D"/>
    <w:rsid w:val="00A03870"/>
    <w:rsid w:val="00A472B1"/>
    <w:rsid w:val="00A806F4"/>
    <w:rsid w:val="00B024E5"/>
    <w:rsid w:val="00C472FB"/>
    <w:rsid w:val="00C52D08"/>
    <w:rsid w:val="00C61806"/>
    <w:rsid w:val="00CE722B"/>
    <w:rsid w:val="00D8535D"/>
    <w:rsid w:val="00E30E2F"/>
    <w:rsid w:val="00E41B81"/>
    <w:rsid w:val="00ED14E5"/>
    <w:rsid w:val="00F22D1A"/>
    <w:rsid w:val="708F24E3"/>
    <w:rsid w:val="70E5B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21F4"/>
  <w15:chartTrackingRefBased/>
  <w15:docId w15:val="{FA90CD0E-047B-4D43-8379-08CF34D3AC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806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6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0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6F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06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06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806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06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06F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06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06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06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06F4"/>
    <w:rPr>
      <w:rFonts w:eastAsiaTheme="majorEastAsia" w:cstheme="majorBidi"/>
      <w:color w:val="272727" w:themeColor="text1" w:themeTint="D8"/>
    </w:rPr>
  </w:style>
  <w:style w:type="paragraph" w:styleId="Title">
    <w:name w:val="Title"/>
    <w:basedOn w:val="Normal"/>
    <w:next w:val="Normal"/>
    <w:link w:val="TitleChar"/>
    <w:uiPriority w:val="10"/>
    <w:qFormat/>
    <w:rsid w:val="00A806F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06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06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0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6F4"/>
    <w:pPr>
      <w:spacing w:before="160"/>
      <w:jc w:val="center"/>
    </w:pPr>
    <w:rPr>
      <w:i/>
      <w:iCs/>
      <w:color w:val="404040" w:themeColor="text1" w:themeTint="BF"/>
    </w:rPr>
  </w:style>
  <w:style w:type="character" w:styleId="QuoteChar" w:customStyle="1">
    <w:name w:val="Quote Char"/>
    <w:basedOn w:val="DefaultParagraphFont"/>
    <w:link w:val="Quote"/>
    <w:uiPriority w:val="29"/>
    <w:rsid w:val="00A806F4"/>
    <w:rPr>
      <w:i/>
      <w:iCs/>
      <w:color w:val="404040" w:themeColor="text1" w:themeTint="BF"/>
    </w:rPr>
  </w:style>
  <w:style w:type="paragraph" w:styleId="ListParagraph">
    <w:name w:val="List Paragraph"/>
    <w:basedOn w:val="Normal"/>
    <w:uiPriority w:val="34"/>
    <w:qFormat/>
    <w:rsid w:val="00A806F4"/>
    <w:pPr>
      <w:ind w:left="720"/>
      <w:contextualSpacing/>
    </w:pPr>
  </w:style>
  <w:style w:type="character" w:styleId="IntenseEmphasis">
    <w:name w:val="Intense Emphasis"/>
    <w:basedOn w:val="DefaultParagraphFont"/>
    <w:uiPriority w:val="21"/>
    <w:qFormat/>
    <w:rsid w:val="00A806F4"/>
    <w:rPr>
      <w:i/>
      <w:iCs/>
      <w:color w:val="0F4761" w:themeColor="accent1" w:themeShade="BF"/>
    </w:rPr>
  </w:style>
  <w:style w:type="paragraph" w:styleId="IntenseQuote">
    <w:name w:val="Intense Quote"/>
    <w:basedOn w:val="Normal"/>
    <w:next w:val="Normal"/>
    <w:link w:val="IntenseQuoteChar"/>
    <w:uiPriority w:val="30"/>
    <w:qFormat/>
    <w:rsid w:val="00A806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06F4"/>
    <w:rPr>
      <w:i/>
      <w:iCs/>
      <w:color w:val="0F4761" w:themeColor="accent1" w:themeShade="BF"/>
    </w:rPr>
  </w:style>
  <w:style w:type="character" w:styleId="IntenseReference">
    <w:name w:val="Intense Reference"/>
    <w:basedOn w:val="DefaultParagraphFont"/>
    <w:uiPriority w:val="32"/>
    <w:qFormat/>
    <w:rsid w:val="00A806F4"/>
    <w:rPr>
      <w:b/>
      <w:bCs/>
      <w:smallCaps/>
      <w:color w:val="0F4761" w:themeColor="accent1" w:themeShade="BF"/>
      <w:spacing w:val="5"/>
    </w:rPr>
  </w:style>
  <w:style w:type="paragraph" w:styleId="Footer">
    <w:name w:val="footer"/>
    <w:basedOn w:val="Normal"/>
    <w:link w:val="FooterChar"/>
    <w:uiPriority w:val="99"/>
    <w:unhideWhenUsed/>
    <w:rsid w:val="00ED14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14E5"/>
  </w:style>
  <w:style w:type="paragraph" w:styleId="Header">
    <w:name w:val="header"/>
    <w:basedOn w:val="Normal"/>
    <w:link w:val="HeaderChar"/>
    <w:uiPriority w:val="99"/>
    <w:unhideWhenUsed/>
    <w:rsid w:val="006F4E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4E92"/>
  </w:style>
  <w:style w:type="table" w:styleId="TableGrid">
    <w:name w:val="Table Grid"/>
    <w:basedOn w:val="TableNormal"/>
    <w:uiPriority w:val="39"/>
    <w:rsid w:val="002E054D"/>
    <w:pPr>
      <w:spacing w:after="0" w:line="240" w:lineRule="auto"/>
    </w:pPr>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Accent4">
    <w:name w:val="List Table 2 Accent 4"/>
    <w:basedOn w:val="TableNormal"/>
    <w:uiPriority w:val="47"/>
    <w:rsid w:val="00386FAF"/>
    <w:pPr>
      <w:spacing w:after="0" w:line="240" w:lineRule="auto"/>
    </w:pPr>
    <w:rPr>
      <w:kern w:val="0"/>
      <w:sz w:val="22"/>
      <w:szCs w:val="22"/>
      <w:lang w:val="en-GB"/>
      <w14:ligatures w14:val="none"/>
    </w:r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rmalWeb">
    <w:name w:val="Normal (Web)"/>
    <w:basedOn w:val="Normal"/>
    <w:uiPriority w:val="99"/>
    <w:unhideWhenUsed/>
    <w:rsid w:val="00462BFD"/>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E3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mount xmlns="a7dfbc66-6a82-4c8a-a390-e31b0b8b5dbf" xsi:nil="true"/>
    <TaxCatchAll xmlns="507bfcae-b510-4c15-9404-d6bf595c7070" xsi:nil="true"/>
    <lcf76f155ced4ddcb4097134ff3c332f xmlns="a7dfbc66-6a82-4c8a-a390-e31b0b8b5d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992FB0AA61543830122BC16F888D8" ma:contentTypeVersion="15" ma:contentTypeDescription="Create a new document." ma:contentTypeScope="" ma:versionID="fcc8a6ffce59c2e01d0d098d312e56fb">
  <xsd:schema xmlns:xsd="http://www.w3.org/2001/XMLSchema" xmlns:xs="http://www.w3.org/2001/XMLSchema" xmlns:p="http://schemas.microsoft.com/office/2006/metadata/properties" xmlns:ns2="a7dfbc66-6a82-4c8a-a390-e31b0b8b5dbf" xmlns:ns3="507bfcae-b510-4c15-9404-d6bf595c7070" targetNamespace="http://schemas.microsoft.com/office/2006/metadata/properties" ma:root="true" ma:fieldsID="e13767d45dde48067eb92b5e0ab55ef1" ns2:_="" ns3:_="">
    <xsd:import namespace="a7dfbc66-6a82-4c8a-a390-e31b0b8b5dbf"/>
    <xsd:import namespace="507bfcae-b510-4c15-9404-d6bf595c7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mou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fbc66-6a82-4c8a-a390-e31b0b8b5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0cf4d7-d675-4901-a037-74c30dcf14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mount" ma:index="21" nillable="true" ma:displayName="Amount" ma:format="Dropdown" ma:internalName="Amount"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bfcae-b510-4c15-9404-d6bf595c70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caf08f-0604-45ba-ab14-c7b59b3a3354}" ma:internalName="TaxCatchAll" ma:showField="CatchAllData" ma:web="507bfcae-b510-4c15-9404-d6bf595c7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AD964-0604-460B-8CBD-E20E4A45DA42}">
  <ds:schemaRefs>
    <ds:schemaRef ds:uri="http://schemas.microsoft.com/office/2006/metadata/properties"/>
    <ds:schemaRef ds:uri="http://schemas.microsoft.com/office/infopath/2007/PartnerControls"/>
    <ds:schemaRef ds:uri="a7dfbc66-6a82-4c8a-a390-e31b0b8b5dbf"/>
    <ds:schemaRef ds:uri="507bfcae-b510-4c15-9404-d6bf595c7070"/>
  </ds:schemaRefs>
</ds:datastoreItem>
</file>

<file path=customXml/itemProps2.xml><?xml version="1.0" encoding="utf-8"?>
<ds:datastoreItem xmlns:ds="http://schemas.openxmlformats.org/officeDocument/2006/customXml" ds:itemID="{424208F8-139A-4D99-9F9D-0F29DB063C36}"/>
</file>

<file path=customXml/itemProps3.xml><?xml version="1.0" encoding="utf-8"?>
<ds:datastoreItem xmlns:ds="http://schemas.openxmlformats.org/officeDocument/2006/customXml" ds:itemID="{426504BD-37DD-4D06-A658-A7E903CAFC2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Jane Gaskell</dc:creator>
  <cp:keywords/>
  <dc:description/>
  <cp:lastModifiedBy>Sureya Bibi</cp:lastModifiedBy>
  <cp:revision>5</cp:revision>
  <dcterms:created xsi:type="dcterms:W3CDTF">2025-09-30T15:27:00Z</dcterms:created>
  <dcterms:modified xsi:type="dcterms:W3CDTF">2026-05-19T10:57:59Z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681f43ae,2ca54cf9,18194ea1</vt:lpwstr>
  </property>
  <property fmtid="{D5CDD505-2E9C-101B-9397-08002B2CF9AE}" pid="3" name="ClassificationContentMarkingFooterFontProps">
    <vt:lpwstr>#0000ff,10,Calibri</vt:lpwstr>
  </property>
  <property fmtid="{D5CDD505-2E9C-101B-9397-08002B2CF9AE}" pid="4" name="ClassificationContentMarkingFooterText">
    <vt:lpwstr>Classification: General Internal Purpose</vt:lpwstr>
  </property>
  <property fmtid="{D5CDD505-2E9C-101B-9397-08002B2CF9AE}" pid="5" name="MSIP_Label_a7bf93e8-aad2-466b-adfa-0d01d2da556d_Enabled">
    <vt:lpwstr>true</vt:lpwstr>
  </property>
  <property fmtid="{D5CDD505-2E9C-101B-9397-08002B2CF9AE}" pid="6" name="MSIP_Label_a7bf93e8-aad2-466b-adfa-0d01d2da556d_SetDate">
    <vt:lpwstr>2025-02-18T07:30:06Z</vt:lpwstr>
  </property>
  <property fmtid="{D5CDD505-2E9C-101B-9397-08002B2CF9AE}" pid="7" name="MSIP_Label_a7bf93e8-aad2-466b-adfa-0d01d2da556d_Method">
    <vt:lpwstr>Standard</vt:lpwstr>
  </property>
  <property fmtid="{D5CDD505-2E9C-101B-9397-08002B2CF9AE}" pid="8" name="MSIP_Label_a7bf93e8-aad2-466b-adfa-0d01d2da556d_Name">
    <vt:lpwstr>Internal - General Purpose</vt:lpwstr>
  </property>
  <property fmtid="{D5CDD505-2E9C-101B-9397-08002B2CF9AE}" pid="9" name="MSIP_Label_a7bf93e8-aad2-466b-adfa-0d01d2da556d_SiteId">
    <vt:lpwstr>101ba89f-958c-4260-a5e1-d10119a0eb1e</vt:lpwstr>
  </property>
  <property fmtid="{D5CDD505-2E9C-101B-9397-08002B2CF9AE}" pid="10" name="MSIP_Label_a7bf93e8-aad2-466b-adfa-0d01d2da556d_ActionId">
    <vt:lpwstr>73157d34-7a49-4721-94f7-f22ccaa54329</vt:lpwstr>
  </property>
  <property fmtid="{D5CDD505-2E9C-101B-9397-08002B2CF9AE}" pid="11" name="MSIP_Label_a7bf93e8-aad2-466b-adfa-0d01d2da556d_ContentBits">
    <vt:lpwstr>2</vt:lpwstr>
  </property>
  <property fmtid="{D5CDD505-2E9C-101B-9397-08002B2CF9AE}" pid="12" name="MSIP_Label_a7bf93e8-aad2-466b-adfa-0d01d2da556d_Tag">
    <vt:lpwstr>50, 3, 0, 1</vt:lpwstr>
  </property>
  <property fmtid="{D5CDD505-2E9C-101B-9397-08002B2CF9AE}" pid="13" name="ContentTypeId">
    <vt:lpwstr>0x010100087992FB0AA61543830122BC16F888D8</vt:lpwstr>
  </property>
  <property fmtid="{D5CDD505-2E9C-101B-9397-08002B2CF9AE}" pid="14" name="MediaServiceImageTags">
    <vt:lpwstr/>
  </property>
</Properties>
</file>